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7FA" w:rsidRDefault="002D6CE4">
      <w:pPr>
        <w:widowControl w:val="0"/>
        <w:tabs>
          <w:tab w:val="left" w:pos="1701"/>
          <w:tab w:val="left" w:pos="3600"/>
        </w:tabs>
        <w:spacing w:after="0" w:line="363" w:lineRule="auto"/>
        <w:ind w:right="96"/>
        <w:jc w:val="both"/>
        <w:rPr>
          <w:b/>
          <w:color w:val="FF0000"/>
          <w:sz w:val="24"/>
          <w:szCs w:val="24"/>
        </w:rPr>
      </w:pPr>
      <w:bookmarkStart w:id="0" w:name="_GoBack"/>
      <w:bookmarkEnd w:id="0"/>
      <w:r>
        <w:rPr>
          <w:b/>
          <w:color w:val="000000"/>
          <w:sz w:val="24"/>
          <w:szCs w:val="24"/>
        </w:rPr>
        <w:t xml:space="preserve">EXCELENTÍSSIMO (A) SENHOR (A) JUIZ (ÍZA) FEDERAL DA MM.   VARA DA SEÇÃO JUDICIÁRIA </w:t>
      </w:r>
      <w:r>
        <w:rPr>
          <w:b/>
          <w:color w:val="FF0000"/>
          <w:sz w:val="24"/>
          <w:szCs w:val="24"/>
        </w:rPr>
        <w:t>(DO</w:t>
      </w:r>
      <w:r>
        <w:rPr>
          <w:b/>
          <w:color w:val="000000"/>
          <w:sz w:val="24"/>
          <w:szCs w:val="24"/>
        </w:rPr>
        <w:t xml:space="preserve"> </w:t>
      </w:r>
      <w:r>
        <w:rPr>
          <w:b/>
          <w:color w:val="FF0000"/>
          <w:sz w:val="24"/>
          <w:szCs w:val="24"/>
        </w:rPr>
        <w:t>DISTRITO FEDERAL.)</w:t>
      </w: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E767FA">
      <w:pPr>
        <w:widowControl w:val="0"/>
        <w:spacing w:after="0" w:line="363" w:lineRule="auto"/>
        <w:jc w:val="both"/>
        <w:rPr>
          <w:color w:val="000000"/>
          <w:sz w:val="24"/>
          <w:szCs w:val="24"/>
        </w:rPr>
      </w:pP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0000"/>
          <w:sz w:val="24"/>
          <w:szCs w:val="24"/>
        </w:rPr>
        <w:t>ENTIDADE</w:t>
      </w:r>
      <w:r>
        <w:rPr>
          <w:rFonts w:ascii="Times New Roman" w:eastAsia="Times New Roman" w:hAnsi="Times New Roman" w:cs="Times New Roman"/>
          <w:color w:val="FF0000"/>
          <w:sz w:val="24"/>
          <w:szCs w:val="24"/>
        </w:rPr>
        <w:t xml:space="preserve">, qualificação, neste ato representada por </w:t>
      </w:r>
      <w:r>
        <w:rPr>
          <w:rFonts w:ascii="Times New Roman" w:eastAsia="Times New Roman" w:hAnsi="Times New Roman" w:cs="Times New Roman"/>
          <w:b/>
          <w:color w:val="FF0000"/>
          <w:sz w:val="24"/>
          <w:szCs w:val="24"/>
        </w:rPr>
        <w:t>REPRESENTANTE</w:t>
      </w:r>
      <w:r>
        <w:rPr>
          <w:rFonts w:ascii="Times New Roman" w:eastAsia="Times New Roman" w:hAnsi="Times New Roman" w:cs="Times New Roman"/>
          <w:color w:val="FF0000"/>
          <w:sz w:val="24"/>
          <w:szCs w:val="24"/>
        </w:rPr>
        <w:t>, qualificação</w:t>
      </w:r>
      <w:r>
        <w:rPr>
          <w:rFonts w:ascii="Times New Roman" w:eastAsia="Times New Roman" w:hAnsi="Times New Roman" w:cs="Times New Roman"/>
          <w:color w:val="000000"/>
          <w:sz w:val="24"/>
          <w:szCs w:val="24"/>
        </w:rPr>
        <w:t xml:space="preserve">, vem, respeitosamente, perante Vossa Excelência, por seus advogados constituídos (procuração e substabelecimento anexos), com escritório profissional no </w:t>
      </w:r>
      <w:r>
        <w:rPr>
          <w:rFonts w:ascii="Times New Roman" w:eastAsia="Times New Roman" w:hAnsi="Times New Roman" w:cs="Times New Roman"/>
          <w:color w:val="FF0000"/>
          <w:sz w:val="24"/>
          <w:szCs w:val="24"/>
        </w:rPr>
        <w:t>ENDEREÇO</w:t>
      </w:r>
      <w:r>
        <w:rPr>
          <w:rFonts w:ascii="Times New Roman" w:eastAsia="Times New Roman" w:hAnsi="Times New Roman" w:cs="Times New Roman"/>
          <w:color w:val="000000"/>
          <w:sz w:val="24"/>
          <w:szCs w:val="24"/>
        </w:rPr>
        <w:t>, endereço onde receberão todas as notificações e publicações, propor a presente</w:t>
      </w:r>
    </w:p>
    <w:p w:rsidR="00E767FA" w:rsidRDefault="002D6CE4">
      <w:pPr>
        <w:pBdr>
          <w:top w:val="single" w:sz="4" w:space="1" w:color="000000"/>
          <w:left w:val="single" w:sz="4" w:space="4" w:color="000000"/>
          <w:bottom w:val="single" w:sz="4" w:space="1" w:color="000000"/>
          <w:right w:val="single" w:sz="4" w:space="4" w:color="000000"/>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ORDINÁRIA</w:t>
      </w:r>
    </w:p>
    <w:p w:rsidR="00E767FA" w:rsidRDefault="002D6CE4">
      <w:pPr>
        <w:pBdr>
          <w:top w:val="single" w:sz="4" w:space="1" w:color="000000"/>
          <w:left w:val="single" w:sz="4" w:space="4" w:color="000000"/>
          <w:bottom w:val="single" w:sz="4" w:space="1" w:color="000000"/>
          <w:right w:val="single" w:sz="4" w:space="4" w:color="000000"/>
        </w:pBd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COM PEDIDO DE TUTELA DE URGÊNCIA, </w:t>
      </w:r>
      <w:r>
        <w:rPr>
          <w:rFonts w:ascii="Times New Roman" w:eastAsia="Times New Roman" w:hAnsi="Times New Roman" w:cs="Times New Roman"/>
          <w:b/>
          <w:i/>
          <w:sz w:val="24"/>
          <w:szCs w:val="24"/>
        </w:rPr>
        <w:t>INAUDITA ALTERA PARTE</w:t>
      </w:r>
    </w:p>
    <w:p w:rsidR="00E767FA" w:rsidRDefault="002D6CE4">
      <w:pPr>
        <w:spacing w:after="0" w:line="360" w:lineRule="auto"/>
        <w:ind w:firstLine="2268"/>
        <w:jc w:val="both"/>
        <w:rPr>
          <w:sz w:val="24"/>
          <w:szCs w:val="24"/>
        </w:rPr>
      </w:pPr>
      <w:r>
        <w:rPr>
          <w:rFonts w:ascii="Times New Roman" w:eastAsia="Times New Roman" w:hAnsi="Times New Roman" w:cs="Times New Roman"/>
          <w:sz w:val="24"/>
          <w:szCs w:val="24"/>
        </w:rPr>
        <w:t xml:space="preserve">em face da </w:t>
      </w:r>
      <w:r>
        <w:rPr>
          <w:rFonts w:ascii="Times New Roman" w:eastAsia="Times New Roman" w:hAnsi="Times New Roman" w:cs="Times New Roman"/>
          <w:b/>
          <w:sz w:val="24"/>
          <w:szCs w:val="24"/>
        </w:rPr>
        <w:t>UNIÃO (FAZENDA NACIONAL)</w:t>
      </w:r>
      <w:r>
        <w:rPr>
          <w:rFonts w:ascii="Times New Roman" w:eastAsia="Times New Roman" w:hAnsi="Times New Roman" w:cs="Times New Roman"/>
          <w:sz w:val="24"/>
          <w:szCs w:val="24"/>
        </w:rPr>
        <w:t xml:space="preserve">, com endereço para citação no Setor de Autarquias Sul, Quadra 3, Lote 5/6, Ed. Multi Brasil Corporate, Brasília – DF, CEP: 70.070-030, pelos fatos e fundamentos a seguir expostos. </w:t>
      </w:r>
    </w:p>
    <w:p w:rsidR="00E767FA" w:rsidRDefault="00E767FA">
      <w:pPr>
        <w:widowControl w:val="0"/>
        <w:tabs>
          <w:tab w:val="left" w:pos="2268"/>
          <w:tab w:val="left" w:pos="4253"/>
        </w:tabs>
        <w:spacing w:after="0" w:line="363" w:lineRule="auto"/>
        <w:jc w:val="both"/>
        <w:rPr>
          <w:sz w:val="24"/>
          <w:szCs w:val="24"/>
        </w:rPr>
      </w:pPr>
    </w:p>
    <w:p w:rsidR="00E767FA" w:rsidRDefault="002D6CE4">
      <w:pPr>
        <w:widowControl w:val="0"/>
        <w:tabs>
          <w:tab w:val="left" w:pos="2268"/>
        </w:tabs>
        <w:spacing w:after="0" w:line="363" w:lineRule="auto"/>
        <w:ind w:firstLine="2268"/>
        <w:jc w:val="both"/>
        <w:rPr>
          <w:b/>
          <w:sz w:val="24"/>
          <w:szCs w:val="24"/>
        </w:rPr>
      </w:pPr>
      <w:r>
        <w:rPr>
          <w:b/>
          <w:sz w:val="24"/>
          <w:szCs w:val="24"/>
        </w:rPr>
        <w:lastRenderedPageBreak/>
        <w:t xml:space="preserve">Requer, desde já, que </w:t>
      </w:r>
      <w:r>
        <w:rPr>
          <w:b/>
          <w:sz w:val="24"/>
          <w:szCs w:val="24"/>
          <w:u w:val="single"/>
        </w:rPr>
        <w:t>TODAS</w:t>
      </w:r>
      <w:r>
        <w:rPr>
          <w:b/>
          <w:sz w:val="24"/>
          <w:szCs w:val="24"/>
        </w:rPr>
        <w:t xml:space="preserve"> as publicações e intimações sejam feitas </w:t>
      </w:r>
      <w:r>
        <w:rPr>
          <w:b/>
          <w:sz w:val="24"/>
          <w:szCs w:val="24"/>
          <w:u w:val="single"/>
        </w:rPr>
        <w:t>excl</w:t>
      </w:r>
      <w:r>
        <w:rPr>
          <w:b/>
          <w:sz w:val="24"/>
          <w:szCs w:val="24"/>
          <w:u w:val="single"/>
        </w:rPr>
        <w:t>usivamente</w:t>
      </w:r>
      <w:r>
        <w:rPr>
          <w:b/>
          <w:sz w:val="24"/>
          <w:szCs w:val="24"/>
        </w:rPr>
        <w:t xml:space="preserve"> em nome da </w:t>
      </w:r>
      <w:r>
        <w:rPr>
          <w:b/>
          <w:color w:val="FF0000"/>
          <w:sz w:val="24"/>
          <w:szCs w:val="24"/>
        </w:rPr>
        <w:t>ADVOGADO(A), inscrito(a) na OAB/UF sob o nº 00.000</w:t>
      </w:r>
      <w:r>
        <w:rPr>
          <w:b/>
          <w:sz w:val="24"/>
          <w:szCs w:val="24"/>
        </w:rPr>
        <w:t xml:space="preserve">, integrante do escritório de advocacia </w:t>
      </w:r>
      <w:r>
        <w:rPr>
          <w:b/>
          <w:color w:val="FF0000"/>
          <w:sz w:val="24"/>
          <w:szCs w:val="24"/>
        </w:rPr>
        <w:t>ESCRITÓRIO, OAB/UF nº 000/00</w:t>
      </w:r>
      <w:r>
        <w:rPr>
          <w:b/>
          <w:sz w:val="24"/>
          <w:szCs w:val="24"/>
        </w:rPr>
        <w:t>.</w:t>
      </w:r>
    </w:p>
    <w:p w:rsidR="00E767FA" w:rsidRDefault="00E767FA">
      <w:pPr>
        <w:widowControl w:val="0"/>
        <w:tabs>
          <w:tab w:val="left" w:pos="2268"/>
          <w:tab w:val="left" w:pos="4253"/>
        </w:tabs>
        <w:spacing w:after="0" w:line="363" w:lineRule="auto"/>
        <w:jc w:val="both"/>
        <w:rPr>
          <w:sz w:val="24"/>
          <w:szCs w:val="24"/>
        </w:rPr>
      </w:pPr>
    </w:p>
    <w:p w:rsidR="00E767FA" w:rsidRDefault="002D6CE4">
      <w:pPr>
        <w:keepNext/>
        <w:widowControl w:val="0"/>
        <w:tabs>
          <w:tab w:val="left" w:pos="0"/>
        </w:tabs>
        <w:spacing w:after="0" w:line="363" w:lineRule="auto"/>
        <w:jc w:val="center"/>
        <w:rPr>
          <w:b/>
          <w:sz w:val="24"/>
          <w:szCs w:val="24"/>
          <w:u w:val="single"/>
        </w:rPr>
      </w:pPr>
      <w:r>
        <w:rPr>
          <w:b/>
          <w:sz w:val="24"/>
          <w:szCs w:val="24"/>
          <w:u w:val="single"/>
        </w:rPr>
        <w:t>I – DA LEGITIMIDADE ATIVA DA ENTIDADE AUTORA. REPRESENTATIVIDADE DA CATEGORIA E AUTORIZAÇÃO LEGAL.</w:t>
      </w:r>
    </w:p>
    <w:p w:rsidR="00E767FA" w:rsidRDefault="00E767FA">
      <w:pPr>
        <w:keepNext/>
        <w:widowControl w:val="0"/>
        <w:tabs>
          <w:tab w:val="left" w:pos="0"/>
        </w:tabs>
        <w:spacing w:after="0" w:line="363" w:lineRule="auto"/>
        <w:rPr>
          <w:b/>
          <w:sz w:val="24"/>
          <w:szCs w:val="24"/>
          <w:u w:val="single"/>
        </w:rPr>
      </w:pPr>
    </w:p>
    <w:p w:rsidR="00E767FA" w:rsidRDefault="002D6CE4">
      <w:pPr>
        <w:spacing w:line="360" w:lineRule="auto"/>
        <w:ind w:firstLine="2268"/>
        <w:jc w:val="both"/>
        <w:rPr>
          <w:sz w:val="24"/>
          <w:szCs w:val="24"/>
        </w:rPr>
      </w:pPr>
      <w:r>
        <w:rPr>
          <w:sz w:val="24"/>
          <w:szCs w:val="24"/>
        </w:rPr>
        <w:t xml:space="preserve">A </w:t>
      </w:r>
      <w:r>
        <w:rPr>
          <w:color w:val="FF0000"/>
          <w:sz w:val="24"/>
          <w:szCs w:val="24"/>
        </w:rPr>
        <w:t>ENTIDADE</w:t>
      </w:r>
      <w:r>
        <w:rPr>
          <w:sz w:val="24"/>
          <w:szCs w:val="24"/>
        </w:rPr>
        <w:t xml:space="preserve"> ve</w:t>
      </w:r>
      <w:r>
        <w:rPr>
          <w:sz w:val="24"/>
          <w:szCs w:val="24"/>
        </w:rPr>
        <w:t xml:space="preserve">m a juízo propor a presente Ação em razão da sua autorização estatutária para representação judicial dos interesses da categoria que representa, conforme se nota do </w:t>
      </w:r>
      <w:r>
        <w:rPr>
          <w:color w:val="FF0000"/>
          <w:sz w:val="24"/>
          <w:szCs w:val="24"/>
        </w:rPr>
        <w:t>art. X</w:t>
      </w:r>
      <w:r>
        <w:rPr>
          <w:sz w:val="24"/>
          <w:szCs w:val="24"/>
        </w:rPr>
        <w:t>, do seu Estatuto:</w:t>
      </w:r>
    </w:p>
    <w:p w:rsidR="00E767FA" w:rsidRDefault="002D6CE4">
      <w:pPr>
        <w:spacing w:line="360" w:lineRule="auto"/>
        <w:ind w:firstLine="2268"/>
        <w:jc w:val="both"/>
        <w:rPr>
          <w:color w:val="FF0000"/>
          <w:sz w:val="24"/>
          <w:szCs w:val="24"/>
        </w:rPr>
      </w:pPr>
      <w:r>
        <w:rPr>
          <w:color w:val="FF0000"/>
          <w:sz w:val="24"/>
          <w:szCs w:val="24"/>
        </w:rPr>
        <w:t>CITAÇÃO DO ESTATUTO</w:t>
      </w:r>
    </w:p>
    <w:p w:rsidR="00E767FA" w:rsidRDefault="002D6CE4">
      <w:pPr>
        <w:spacing w:line="360" w:lineRule="auto"/>
        <w:ind w:firstLine="2268"/>
        <w:jc w:val="both"/>
        <w:rPr>
          <w:sz w:val="24"/>
          <w:szCs w:val="24"/>
        </w:rPr>
      </w:pPr>
      <w:r>
        <w:rPr>
          <w:sz w:val="24"/>
          <w:szCs w:val="24"/>
        </w:rPr>
        <w:t xml:space="preserve">A questão discutida nestes autos diz respeito </w:t>
      </w:r>
      <w:r>
        <w:rPr>
          <w:sz w:val="24"/>
          <w:szCs w:val="24"/>
        </w:rPr>
        <w:t>à repercussão financeira negativa gerada pela Reforma da Previdência advinda com a EC 103/2019, em especial quanto ao aumento da alíquota de contribuição previdenciária, da progressividade da alíquota e da eventual necessidade de instituição de uma contrib</w:t>
      </w:r>
      <w:r>
        <w:rPr>
          <w:sz w:val="24"/>
          <w:szCs w:val="24"/>
        </w:rPr>
        <w:t>uição extraordinária aos servidores públicos representados pela entidade autora.</w:t>
      </w:r>
    </w:p>
    <w:p w:rsidR="00E767FA" w:rsidRDefault="002D6CE4">
      <w:pPr>
        <w:spacing w:line="360" w:lineRule="auto"/>
        <w:ind w:firstLine="2268"/>
        <w:jc w:val="both"/>
        <w:rPr>
          <w:sz w:val="24"/>
          <w:szCs w:val="24"/>
        </w:rPr>
      </w:pPr>
      <w:r>
        <w:rPr>
          <w:sz w:val="24"/>
          <w:szCs w:val="24"/>
        </w:rPr>
        <w:t xml:space="preserve">Fica clara, portanto, a legitimidade da </w:t>
      </w:r>
      <w:r>
        <w:rPr>
          <w:color w:val="FF0000"/>
          <w:sz w:val="24"/>
          <w:szCs w:val="24"/>
        </w:rPr>
        <w:t>ENTIDADE</w:t>
      </w:r>
      <w:r>
        <w:rPr>
          <w:sz w:val="24"/>
          <w:szCs w:val="24"/>
        </w:rPr>
        <w:t xml:space="preserve"> para figurar no polo ativo da presente demanda, enquanto substituta processual de toda a categoria que representa, conforme já</w:t>
      </w:r>
      <w:r>
        <w:rPr>
          <w:sz w:val="24"/>
          <w:szCs w:val="24"/>
        </w:rPr>
        <w:t xml:space="preserve"> decidido pelo Supremo Tribunal Federal em sede de repercussão geral:</w:t>
      </w:r>
    </w:p>
    <w:p w:rsidR="00E767FA" w:rsidRDefault="002D6CE4">
      <w:pPr>
        <w:spacing w:line="240" w:lineRule="auto"/>
        <w:ind w:left="2268"/>
        <w:jc w:val="both"/>
      </w:pPr>
      <w:r>
        <w:t>Ementa: RECURSO EXTRAORDINÁRIO. CONSTITUCIONAL. ART. 8º, III, DA LEI MAIOR. SINDICATO. LEGITIMIDADE. SUBSTITUTO PROCESSUAL. EXECUÇÃO DE SENTENÇA. DESNECESSIDADE DE AUTORIZAÇÃO. EXISTÊNCIA DE REPERCUSSÃO GERAL. REAFIRMAÇÃO DE JURISPRUDÊNCIA. I – Repercussão</w:t>
      </w:r>
      <w:r>
        <w:t xml:space="preserve"> geral reconhecida e reafirmada a jurisprudência do Supremo Tribunal Federal no sentido da ampla legitimidade extraordinária dos sindicatos para defender em juízo os direitos e interesses coletivos ou individuais dos integrantes da categoria que representa</w:t>
      </w:r>
      <w:r>
        <w:t xml:space="preserve">m, inclusive nas liquidações e execuções de sentença, independentemente de autorização dos substituídos. (RE 883642 RG, Relator(a): Min. MINISTRO PRESIDENTE, julgado </w:t>
      </w:r>
      <w:r>
        <w:lastRenderedPageBreak/>
        <w:t>em 18/06/2015, ACÓRDÃO ELETRÔNICO REPERCUSSÃO GERAL - MÉRITO DJe-124 DIVULG 25-06-2015 PUB</w:t>
      </w:r>
      <w:r>
        <w:t>LIC 26-06-2015 )</w:t>
      </w:r>
    </w:p>
    <w:p w:rsidR="00E767FA" w:rsidRDefault="002D6CE4">
      <w:pPr>
        <w:spacing w:line="360" w:lineRule="auto"/>
        <w:ind w:firstLine="2268"/>
        <w:jc w:val="both"/>
        <w:rPr>
          <w:sz w:val="24"/>
          <w:szCs w:val="24"/>
        </w:rPr>
      </w:pPr>
      <w:r>
        <w:rPr>
          <w:sz w:val="24"/>
          <w:szCs w:val="24"/>
        </w:rPr>
        <w:t xml:space="preserve">Comprovada, portanto, a legitimidade ativa da </w:t>
      </w:r>
      <w:r>
        <w:rPr>
          <w:color w:val="FF0000"/>
          <w:sz w:val="24"/>
          <w:szCs w:val="24"/>
        </w:rPr>
        <w:t>ENTIDADE</w:t>
      </w:r>
      <w:r>
        <w:rPr>
          <w:sz w:val="24"/>
          <w:szCs w:val="24"/>
        </w:rPr>
        <w:t xml:space="preserve">, há de se estabelecer os limites da lide, para melhor compreensão da controvérsia ora trazida à apreciação do Poder Judiciário. </w:t>
      </w: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u w:val="single"/>
        </w:rPr>
        <w:t>OBJETO</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presente lide tem por finalidade afastar a incidência, por meio de declaração incidental de inconstitucionalidade, da exigibilidade das novas alíquotas progressivas de contribuição previdenciária instituídas pela Emenda Constitucional nº 103/2019, bem co</w:t>
      </w:r>
      <w:r>
        <w:rPr>
          <w:rFonts w:ascii="Times New Roman" w:eastAsia="Times New Roman" w:hAnsi="Times New Roman" w:cs="Times New Roman"/>
          <w:color w:val="000000"/>
          <w:sz w:val="24"/>
          <w:szCs w:val="24"/>
        </w:rPr>
        <w:t>mo da possibilidade de implementação de contribuição previdenciária extraordinária e majoração da base de cálculo de contribuição devida por aposentados e pensionistas, também instituídas pelo referido diploma. A presente demanda se justifica também em vir</w:t>
      </w:r>
      <w:r>
        <w:rPr>
          <w:rFonts w:ascii="Times New Roman" w:eastAsia="Times New Roman" w:hAnsi="Times New Roman" w:cs="Times New Roman"/>
          <w:color w:val="000000"/>
          <w:sz w:val="24"/>
          <w:szCs w:val="24"/>
        </w:rPr>
        <w:t xml:space="preserve">tude da situação de pandemia global declarada pela Organização Mundial da Saúde (OMS) e que afeta, sobremaneira, a segurança financeira dos servidores públicos. </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se demonstrará, estas medidas, além de violarem diretrizes constitucionais pertinente</w:t>
      </w:r>
      <w:r>
        <w:rPr>
          <w:rFonts w:ascii="Times New Roman" w:eastAsia="Times New Roman" w:hAnsi="Times New Roman" w:cs="Times New Roman"/>
          <w:color w:val="000000"/>
          <w:sz w:val="24"/>
          <w:szCs w:val="24"/>
        </w:rPr>
        <w:t>s ao sistema previdenciário,  são incompatíveis com disposivos da Constituição que visam a proteção do contribuinte, tendo sido aprovadas sem o necessário estudo atuarial necessário.</w:t>
      </w: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u w:val="single"/>
        </w:rPr>
        <w:t xml:space="preserve">DOS FATOS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Emenda Constitucional nº 103/2019, que instituiu a denominad</w:t>
      </w:r>
      <w:r>
        <w:rPr>
          <w:rFonts w:ascii="Times New Roman" w:eastAsia="Times New Roman" w:hAnsi="Times New Roman" w:cs="Times New Roman"/>
          <w:sz w:val="24"/>
          <w:szCs w:val="24"/>
        </w:rPr>
        <w:t>a “Reforma da Previdência”, alterou a redação do parágrafo 1º do artigo 149 da Constituição Federal, possibilitando a instituição de alíquotas progressivas para a contribuição previdenciária dos segurados do Regime Próprio de Previdência Social da União.</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iante disso, a EC 103/2019 preceituou, em seu art. 11,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que, até a entrada em vigor lei que altere a alíquota de contribuição previdenciária devida no âmbito do RPPS, esta deverá ser de 14 % (catorze por cento). Para mais, essa alíquota deve ser majo</w:t>
      </w:r>
      <w:r>
        <w:rPr>
          <w:rFonts w:ascii="Times New Roman" w:eastAsia="Times New Roman" w:hAnsi="Times New Roman" w:cs="Times New Roman"/>
          <w:sz w:val="24"/>
          <w:szCs w:val="24"/>
        </w:rPr>
        <w:t xml:space="preserve">rada considerando a base de contribuição do benefício recebido, em razão da aplicação das alíquotas </w:t>
      </w:r>
      <w:r>
        <w:rPr>
          <w:rFonts w:ascii="Times New Roman" w:eastAsia="Times New Roman" w:hAnsi="Times New Roman" w:cs="Times New Roman"/>
          <w:sz w:val="24"/>
          <w:szCs w:val="24"/>
        </w:rPr>
        <w:lastRenderedPageBreak/>
        <w:t>progressivas delineadas no parágrafo 1º do referido artigo, que partem de 7,5% (sete  e meio por cento) até vultosos 22% (vinte e dois por cento).</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w:t>
      </w:r>
      <w:r>
        <w:rPr>
          <w:rFonts w:ascii="Times New Roman" w:eastAsia="Times New Roman" w:hAnsi="Times New Roman" w:cs="Times New Roman"/>
          <w:sz w:val="24"/>
          <w:szCs w:val="24"/>
        </w:rPr>
        <w:t>se possa mensurar os impactos da Reforma da Previdência sobre os servidores públicos federais, vejamos a seguir tabela que indica os índices aplicados antes da EC 103/2019, aqueles dispostos no citado art. 11 e a alíquota efetiva total que incidirá sobre o</w:t>
      </w:r>
      <w:r>
        <w:rPr>
          <w:rFonts w:ascii="Times New Roman" w:eastAsia="Times New Roman" w:hAnsi="Times New Roman" w:cs="Times New Roman"/>
          <w:sz w:val="24"/>
          <w:szCs w:val="24"/>
        </w:rPr>
        <w:t>s proventos dos servidores considerando-se o valor máximo estabelecido para cada faixa de contribuição</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tbl>
      <w:tblPr>
        <w:tblStyle w:val="a"/>
        <w:tblW w:w="9655"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5"/>
        <w:gridCol w:w="1301"/>
        <w:gridCol w:w="1881"/>
        <w:gridCol w:w="2458"/>
      </w:tblGrid>
      <w:tr w:rsidR="00E767FA">
        <w:tc>
          <w:tcPr>
            <w:tcW w:w="4015" w:type="dxa"/>
            <w:shd w:val="clear" w:color="auto" w:fill="E7E6E6"/>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Base de contribuição</w:t>
            </w:r>
          </w:p>
        </w:tc>
        <w:tc>
          <w:tcPr>
            <w:tcW w:w="1301" w:type="dxa"/>
            <w:shd w:val="clear" w:color="auto" w:fill="E7E6E6"/>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Alíquota anterior</w:t>
            </w:r>
          </w:p>
        </w:tc>
        <w:tc>
          <w:tcPr>
            <w:tcW w:w="1881" w:type="dxa"/>
            <w:shd w:val="clear" w:color="auto" w:fill="E7E6E6"/>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Alíquota pela EC 103/2019 </w:t>
            </w:r>
          </w:p>
        </w:tc>
        <w:tc>
          <w:tcPr>
            <w:tcW w:w="2458" w:type="dxa"/>
            <w:shd w:val="clear" w:color="auto" w:fill="E7E6E6"/>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Alíquota efetiva total (no valor máximo)</w:t>
            </w:r>
          </w:p>
        </w:tc>
      </w:tr>
      <w:tr w:rsidR="00E767FA">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 R$ 2.000,01 a R$ 3.000,00</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E767FA">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 R$3.000,01 a R$ 5.839,45</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11,69%</w:t>
            </w:r>
          </w:p>
        </w:tc>
      </w:tr>
      <w:tr w:rsidR="00E767FA">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 R$ 5.839,46 e R$ 10.000,00</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12,86%</w:t>
            </w:r>
          </w:p>
        </w:tc>
      </w:tr>
      <w:tr w:rsidR="00E767FA">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 R$ 10.000,01 a R$ 20.000,00</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14,68%</w:t>
            </w:r>
          </w:p>
        </w:tc>
      </w:tr>
      <w:tr w:rsidR="00E767FA">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 R$ 20.000,01 e R$ 39.000,00</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16,78%</w:t>
            </w:r>
          </w:p>
        </w:tc>
      </w:tr>
      <w:tr w:rsidR="00E767FA">
        <w:trPr>
          <w:trHeight w:val="54"/>
        </w:trPr>
        <w:tc>
          <w:tcPr>
            <w:tcW w:w="4015" w:type="dxa"/>
            <w:shd w:val="clear" w:color="auto" w:fill="auto"/>
            <w:vAlign w:val="center"/>
          </w:tcPr>
          <w:p w:rsidR="00E767FA" w:rsidRDefault="002D6C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Acima de R$ 39.000,01 </w:t>
            </w:r>
          </w:p>
        </w:tc>
        <w:tc>
          <w:tcPr>
            <w:tcW w:w="130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81"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58" w:type="dxa"/>
            <w:shd w:val="clear" w:color="auto" w:fill="auto"/>
            <w:vAlign w:val="center"/>
          </w:tcPr>
          <w:p w:rsidR="00E767FA" w:rsidRDefault="002D6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16,82%</w:t>
            </w:r>
          </w:p>
        </w:tc>
      </w:tr>
    </w:tbl>
    <w:p w:rsidR="00E767FA" w:rsidRDefault="00E767FA">
      <w:pPr>
        <w:ind w:firstLine="141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o aumento das carga tributária suportada pelos segurados do RPPS, a EC 103/2019 também introduziu os parágrafos 1º-A, 1º-B e 1º- B ao art. 149 da Constituição Federal, permitindo a majoração da base de cálculo da contribuição ordinária de todo</w:t>
      </w:r>
      <w:r>
        <w:rPr>
          <w:rFonts w:ascii="Times New Roman" w:eastAsia="Times New Roman" w:hAnsi="Times New Roman" w:cs="Times New Roman"/>
          <w:sz w:val="24"/>
          <w:szCs w:val="24"/>
        </w:rPr>
        <w:t>s os aposentados e pensionistas, de modo que a tributação possa incidir sobre o valor dos proventos de aposentadoria e de pensões que superem o salário mínimo, caso seja constatado déficit atuarial do RPPS.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caso a referida medida não se apresente </w:t>
      </w:r>
      <w:r>
        <w:rPr>
          <w:rFonts w:ascii="Times New Roman" w:eastAsia="Times New Roman" w:hAnsi="Times New Roman" w:cs="Times New Roman"/>
          <w:sz w:val="24"/>
          <w:szCs w:val="24"/>
        </w:rPr>
        <w:t xml:space="preserve">eficiente para o equacionamento do déficit, poderá incidir contribuição previdenciária extraordinária para os servidores públicos federais ativos, aposentados e pensionistas.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Vejamos o texto da EC 103/2019 no que se refere às mencionadas alterações da Con</w:t>
      </w:r>
      <w:r>
        <w:rPr>
          <w:rFonts w:ascii="Times New Roman" w:eastAsia="Times New Roman" w:hAnsi="Times New Roman" w:cs="Times New Roman"/>
          <w:sz w:val="24"/>
          <w:szCs w:val="24"/>
        </w:rPr>
        <w:t>stituição Federal:</w:t>
      </w:r>
    </w:p>
    <w:p w:rsidR="00E767FA" w:rsidRDefault="002D6CE4">
      <w:pPr>
        <w:spacing w:after="0" w:line="36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 1º A </w:t>
      </w:r>
      <w:hyperlink r:id="rId8">
        <w:r>
          <w:rPr>
            <w:rFonts w:ascii="Times New Roman" w:eastAsia="Times New Roman" w:hAnsi="Times New Roman" w:cs="Times New Roman"/>
            <w:sz w:val="24"/>
            <w:szCs w:val="24"/>
          </w:rPr>
          <w:t>Constituição Federal</w:t>
        </w:r>
      </w:hyperlink>
      <w:r>
        <w:rPr>
          <w:rFonts w:ascii="Times New Roman" w:eastAsia="Times New Roman" w:hAnsi="Times New Roman" w:cs="Times New Roman"/>
          <w:sz w:val="24"/>
          <w:szCs w:val="24"/>
        </w:rPr>
        <w:t> passa a vigorar com as seguintes alterações: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149.[...] </w:t>
      </w:r>
    </w:p>
    <w:p w:rsidR="00E767FA" w:rsidRDefault="002D6CE4">
      <w:pPr>
        <w:spacing w:after="0"/>
        <w:ind w:left="2268"/>
        <w:jc w:val="both"/>
        <w:rPr>
          <w:rFonts w:ascii="Times New Roman" w:eastAsia="Times New Roman" w:hAnsi="Times New Roman" w:cs="Times New Roman"/>
          <w:sz w:val="24"/>
          <w:szCs w:val="24"/>
        </w:rPr>
      </w:pPr>
      <w:hyperlink r:id="rId9" w:anchor="art149%C2%A71..">
        <w:r>
          <w:rPr>
            <w:rFonts w:ascii="Times New Roman" w:eastAsia="Times New Roman" w:hAnsi="Times New Roman" w:cs="Times New Roman"/>
            <w:sz w:val="24"/>
            <w:szCs w:val="24"/>
          </w:rPr>
          <w:t>§ 1º</w:t>
        </w:r>
      </w:hyperlink>
      <w:r>
        <w:rPr>
          <w:rFonts w:ascii="Times New Roman" w:eastAsia="Times New Roman" w:hAnsi="Times New Roman" w:cs="Times New Roman"/>
          <w:sz w:val="24"/>
          <w:szCs w:val="24"/>
        </w:rPr>
        <w:t xml:space="preserve"> A União, os Estados, o Distrito Federal e os Municípios instituirão, por meio de lei, contribuições para custeio de regime próprio de previdência social, cobradas dos servidores ativos, dos aposentados </w:t>
      </w:r>
      <w:r>
        <w:rPr>
          <w:rFonts w:ascii="Times New Roman" w:eastAsia="Times New Roman" w:hAnsi="Times New Roman" w:cs="Times New Roman"/>
          <w:sz w:val="24"/>
          <w:szCs w:val="24"/>
        </w:rPr>
        <w:t xml:space="preserve">e dos pensionistas, que </w:t>
      </w:r>
      <w:r>
        <w:rPr>
          <w:rFonts w:ascii="Times New Roman" w:eastAsia="Times New Roman" w:hAnsi="Times New Roman" w:cs="Times New Roman"/>
          <w:b/>
          <w:sz w:val="24"/>
          <w:szCs w:val="24"/>
          <w:u w:val="single"/>
        </w:rPr>
        <w:t>poderão ter alíquotas progressivas de acordo com o valor da base de contribuição ou dos proventos de aposentadoria e de pensões.   </w:t>
      </w:r>
      <w:r>
        <w:rPr>
          <w:rFonts w:ascii="Times New Roman" w:eastAsia="Times New Roman" w:hAnsi="Times New Roman" w:cs="Times New Roman"/>
          <w:sz w:val="24"/>
          <w:szCs w:val="24"/>
        </w:rPr>
        <w:t xml:space="preserve">  </w:t>
      </w:r>
    </w:p>
    <w:p w:rsidR="00E767FA" w:rsidRDefault="002D6CE4">
      <w:pPr>
        <w:spacing w:after="0"/>
        <w:ind w:left="226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1º-A. Quando houver deficit atuarial, a contribuição ordinária dos aposentados e pensionistas poderá incidir sobre o valor dos proventos de aposentadoria e de pensões que supere o salário-mínimo.     </w:t>
      </w:r>
      <w:hyperlink r:id="rId10" w:anchor="art36ii">
        <w:r>
          <w:rPr>
            <w:rFonts w:ascii="Times New Roman" w:eastAsia="Times New Roman" w:hAnsi="Times New Roman" w:cs="Times New Roman"/>
            <w:b/>
            <w:sz w:val="24"/>
            <w:szCs w:val="24"/>
            <w:u w:val="single"/>
          </w:rPr>
          <w:t>(Vigência)</w:t>
        </w:r>
      </w:hyperlink>
    </w:p>
    <w:p w:rsidR="00E767FA" w:rsidRDefault="002D6CE4">
      <w:pPr>
        <w:spacing w:after="0"/>
        <w:ind w:left="226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1º-B. Demonstrada a insuficiência da medida prevista no § 1º-A para equacionar o deficit atuarial, é facultada a instituição de contribuição extraordinária, no âmbito da União, dos servidores </w:t>
      </w:r>
      <w:r>
        <w:rPr>
          <w:rFonts w:ascii="Times New Roman" w:eastAsia="Times New Roman" w:hAnsi="Times New Roman" w:cs="Times New Roman"/>
          <w:b/>
          <w:sz w:val="24"/>
          <w:szCs w:val="24"/>
          <w:u w:val="single"/>
        </w:rPr>
        <w:t>públicos ativos, dos aposentados e dos pensionistas.       </w:t>
      </w:r>
      <w:hyperlink r:id="rId11" w:anchor="art36ii">
        <w:r>
          <w:rPr>
            <w:rFonts w:ascii="Times New Roman" w:eastAsia="Times New Roman" w:hAnsi="Times New Roman" w:cs="Times New Roman"/>
            <w:b/>
            <w:sz w:val="24"/>
            <w:szCs w:val="24"/>
            <w:u w:val="single"/>
          </w:rPr>
          <w:t>(Vigência)</w:t>
        </w:r>
      </w:hyperlink>
    </w:p>
    <w:p w:rsidR="00E767FA" w:rsidRDefault="002D6CE4">
      <w:pPr>
        <w:spacing w:after="0"/>
        <w:ind w:left="226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1º-C. A contribuição extraordinária de que trata o § 1º-B deverá ser instituída</w:t>
      </w:r>
      <w:r>
        <w:rPr>
          <w:rFonts w:ascii="Times New Roman" w:eastAsia="Times New Roman" w:hAnsi="Times New Roman" w:cs="Times New Roman"/>
          <w:b/>
          <w:sz w:val="24"/>
          <w:szCs w:val="24"/>
          <w:u w:val="single"/>
        </w:rPr>
        <w:t xml:space="preserve"> simultaneamente com outras medidas para equacionamento do deficit e vigorará por período determinado, contado da data de sua instituição.  </w:t>
      </w:r>
    </w:p>
    <w:p w:rsidR="00E767FA" w:rsidRDefault="00E767FA">
      <w:pPr>
        <w:spacing w:after="0"/>
        <w:ind w:left="2268"/>
        <w:jc w:val="both"/>
        <w:rPr>
          <w:rFonts w:ascii="Times New Roman" w:eastAsia="Times New Roman" w:hAnsi="Times New Roman" w:cs="Times New Roman"/>
          <w:sz w:val="24"/>
          <w:szCs w:val="24"/>
        </w:rPr>
      </w:pP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9º [...] </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Os Estados, o Distrito Federal e os Municípios não poderão estabelecer alíquota inferior à da contribuição dos servidores da União, exceto se demonstrado que o respectivo regime próprio de previdência social não possui deficit atuarial a ser equaciona</w:t>
      </w:r>
      <w:r>
        <w:rPr>
          <w:rFonts w:ascii="Times New Roman" w:eastAsia="Times New Roman" w:hAnsi="Times New Roman" w:cs="Times New Roman"/>
          <w:sz w:val="24"/>
          <w:szCs w:val="24"/>
        </w:rPr>
        <w:t xml:space="preserve">do, hipótese em que a alíquota não poderá ser inferior às alíquotas aplicáveis ao Regime Geral de Previdência Social. </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Para fins do disposto no § 4º, não será considerada como ausência de deficit a implementação de segregação da massa de segurados ou </w:t>
      </w:r>
      <w:r>
        <w:rPr>
          <w:rFonts w:ascii="Times New Roman" w:eastAsia="Times New Roman" w:hAnsi="Times New Roman" w:cs="Times New Roman"/>
          <w:sz w:val="24"/>
          <w:szCs w:val="24"/>
        </w:rPr>
        <w:t>a previsão em lei de plano de equacionamento de deficit.</w:t>
      </w:r>
    </w:p>
    <w:p w:rsidR="00E767FA" w:rsidRDefault="00E767FA">
      <w:pPr>
        <w:spacing w:after="0"/>
        <w:ind w:left="2268"/>
        <w:jc w:val="both"/>
        <w:rPr>
          <w:rFonts w:ascii="Times New Roman" w:eastAsia="Times New Roman" w:hAnsi="Times New Roman" w:cs="Times New Roman"/>
          <w:sz w:val="24"/>
          <w:szCs w:val="24"/>
        </w:rPr>
      </w:pP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11. Até que entre em vigor lei que altere a alíquota da contribuição previdenciária de que tratam os </w:t>
      </w:r>
      <w:hyperlink r:id="rId12" w:anchor="art4.0">
        <w:r>
          <w:rPr>
            <w:rFonts w:ascii="Times New Roman" w:eastAsia="Times New Roman" w:hAnsi="Times New Roman" w:cs="Times New Roman"/>
            <w:sz w:val="24"/>
            <w:szCs w:val="24"/>
          </w:rPr>
          <w:t>arts. 4º, 5º e 6º da Lei nº 10.887, de 18 de junho de 2004</w:t>
        </w:r>
      </w:hyperlink>
      <w:r>
        <w:rPr>
          <w:rFonts w:ascii="Times New Roman" w:eastAsia="Times New Roman" w:hAnsi="Times New Roman" w:cs="Times New Roman"/>
          <w:sz w:val="24"/>
          <w:szCs w:val="24"/>
        </w:rPr>
        <w:t xml:space="preserve">, esta será de 14 (quatorze por cento).              </w:t>
      </w:r>
    </w:p>
    <w:p w:rsidR="00E767FA" w:rsidRDefault="002D6CE4">
      <w:pPr>
        <w:spacing w:after="0"/>
        <w:ind w:left="226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1º A alíquota prevista no caput será reduzida ou majorada, considerado o valor da base de contribuição ou do benefício recebido, de</w:t>
      </w:r>
      <w:r>
        <w:rPr>
          <w:rFonts w:ascii="Times New Roman" w:eastAsia="Times New Roman" w:hAnsi="Times New Roman" w:cs="Times New Roman"/>
          <w:b/>
          <w:sz w:val="24"/>
          <w:szCs w:val="24"/>
          <w:u w:val="single"/>
        </w:rPr>
        <w:t xml:space="preserve"> acordo com os seguintes parâmetros: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até 1 (um) salário-mínimo, redução de seis inteiros e cinco décimos pontos percentuais;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 acima de 1 (um) salário-mínimo até R$ 2.000,00 (dois mil reais), redução de cinco pontos percentuais;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de R$ 2.000,01</w:t>
      </w:r>
      <w:r>
        <w:rPr>
          <w:rFonts w:ascii="Times New Roman" w:eastAsia="Times New Roman" w:hAnsi="Times New Roman" w:cs="Times New Roman"/>
          <w:sz w:val="24"/>
          <w:szCs w:val="24"/>
        </w:rPr>
        <w:t xml:space="preserve"> (dois mil reais e um centavo) até R$ 3.000,00 (três mil reais), redução de dois pontos percentuais;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de R$ 3.000,01 (três mil reais e um centavo) até R$ 5.839,45 (cinco mil, oitocentos e trinta e nove reais e quarenta e cinco centavos), sem redução ou</w:t>
      </w:r>
      <w:r>
        <w:rPr>
          <w:rFonts w:ascii="Times New Roman" w:eastAsia="Times New Roman" w:hAnsi="Times New Roman" w:cs="Times New Roman"/>
          <w:sz w:val="24"/>
          <w:szCs w:val="24"/>
        </w:rPr>
        <w:t xml:space="preserve"> acréscimo;</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de R$ 5.839,46 (cinco mil, oitocentos e trinta e nove reais e quarenta e seis centavos) até R$ 10.000,00 (dez mil reais), acréscimo de meio ponto percentual;</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 de R$ 10.000,01 (dez mil reais e um centavo) até R$ 20.000,00 (vinte mil reai</w:t>
      </w:r>
      <w:r>
        <w:rPr>
          <w:rFonts w:ascii="Times New Roman" w:eastAsia="Times New Roman" w:hAnsi="Times New Roman" w:cs="Times New Roman"/>
          <w:sz w:val="24"/>
          <w:szCs w:val="24"/>
        </w:rPr>
        <w:t>s), acréscimo de dois inteiros e cinco décimos pontos percentuais;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de R$ 20.000,01 (vinte mil reais e um centavo) até R$ 39.000,00 (trinta e nove mil reais), acréscimo de cinco pontos percentuais; e</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 - acima de R$ 39.000,00 (trinta e nove mil rea</w:t>
      </w:r>
      <w:r>
        <w:rPr>
          <w:rFonts w:ascii="Times New Roman" w:eastAsia="Times New Roman" w:hAnsi="Times New Roman" w:cs="Times New Roman"/>
          <w:sz w:val="24"/>
          <w:szCs w:val="24"/>
        </w:rPr>
        <w:t>is), acréscimo de oito pontos percentuais.</w:t>
      </w:r>
    </w:p>
    <w:p w:rsidR="00E767FA" w:rsidRDefault="002D6CE4">
      <w:pPr>
        <w:spacing w:after="0"/>
        <w:ind w:left="226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2º A alíquota, reduzida ou majorada nos termos do disposto no § 1º, será aplicada de forma progressiva sobre a base de contribuição do servidor ativo, incidindo cada alíquota sobre a faixa de valores compreendid</w:t>
      </w:r>
      <w:r>
        <w:rPr>
          <w:rFonts w:ascii="Times New Roman" w:eastAsia="Times New Roman" w:hAnsi="Times New Roman" w:cs="Times New Roman"/>
          <w:b/>
          <w:sz w:val="24"/>
          <w:szCs w:val="24"/>
          <w:u w:val="single"/>
        </w:rPr>
        <w:t>a nos respectivos limites.</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Os valores previstos no § 1º serão reajustados, a partir da data de entrada em vigor desta Emenda Constitucional, na mesma data e com o mesmo índice em que se der o reajuste dos benefícios do Regime Geral de Previdência Soci</w:t>
      </w:r>
      <w:r>
        <w:rPr>
          <w:rFonts w:ascii="Times New Roman" w:eastAsia="Times New Roman" w:hAnsi="Times New Roman" w:cs="Times New Roman"/>
          <w:sz w:val="24"/>
          <w:szCs w:val="24"/>
        </w:rPr>
        <w:t>al, ressalvados aqueles vinculados ao salário-mínimo, aos quais se aplica a legislação específica.</w:t>
      </w:r>
    </w:p>
    <w:p w:rsidR="00E767FA" w:rsidRDefault="002D6CE4">
      <w:pPr>
        <w:spacing w:after="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A alíquota de contribuição de que trata o caput, com a redução ou a majoração decorrentes do disposto no § 1º, será devida pelos aposentados e pensionis</w:t>
      </w:r>
      <w:r>
        <w:rPr>
          <w:rFonts w:ascii="Times New Roman" w:eastAsia="Times New Roman" w:hAnsi="Times New Roman" w:cs="Times New Roman"/>
          <w:sz w:val="24"/>
          <w:szCs w:val="24"/>
        </w:rPr>
        <w:t>tas de quaisquer dos Poderes da União, incluídas suas entidades autárquicas e suas fundações, e incidirá sobre o valor da parcela dos proventos de aposentadoria e de pensões que supere o limite máximo estabelecido para os benefícios do Regime Geral de Prev</w:t>
      </w:r>
      <w:r>
        <w:rPr>
          <w:rFonts w:ascii="Times New Roman" w:eastAsia="Times New Roman" w:hAnsi="Times New Roman" w:cs="Times New Roman"/>
          <w:sz w:val="24"/>
          <w:szCs w:val="24"/>
        </w:rPr>
        <w:t>idência Social, hipótese em que será considerada a totalidade do valor do benefício para fins de definição das alíquotas aplicáveis.</w:t>
      </w:r>
    </w:p>
    <w:p w:rsidR="00E767FA" w:rsidRDefault="00E767FA">
      <w:pPr>
        <w:spacing w:after="0"/>
        <w:ind w:left="226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se demonstrará, o resultado dessa modificação legislativa arbitrária e desarrazoada resultou em grave violação ao</w:t>
      </w:r>
      <w:r>
        <w:rPr>
          <w:rFonts w:ascii="Times New Roman" w:eastAsia="Times New Roman" w:hAnsi="Times New Roman" w:cs="Times New Roman"/>
          <w:sz w:val="24"/>
          <w:szCs w:val="24"/>
        </w:rPr>
        <w:t xml:space="preserve"> princípio da solidariedade e ao caráter contributivo do RPPS previstos, respectivamente, no art. 40,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195, caput e §5º, da Constituição Federal, assim como fere de morte os princípios, também constitucionais, da vedação à </w:t>
      </w:r>
      <w:r>
        <w:rPr>
          <w:rFonts w:ascii="Times New Roman" w:eastAsia="Times New Roman" w:hAnsi="Times New Roman" w:cs="Times New Roman"/>
          <w:sz w:val="24"/>
          <w:szCs w:val="24"/>
        </w:rPr>
        <w:lastRenderedPageBreak/>
        <w:t>instituição de tributo co</w:t>
      </w:r>
      <w:r>
        <w:rPr>
          <w:rFonts w:ascii="Times New Roman" w:eastAsia="Times New Roman" w:hAnsi="Times New Roman" w:cs="Times New Roman"/>
          <w:sz w:val="24"/>
          <w:szCs w:val="24"/>
        </w:rPr>
        <w:t>mo forma de confisco e da capacidade contributiva, de acordo com o art. 145, § 1º, e art. 150, IV da CRFB/88.</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 exposição de motivos da PEC 06/2019, que deu origem a EC 103/2019, fundamentou-se na existência de “rombo da previdência”, provocad</w:t>
      </w:r>
      <w:r>
        <w:rPr>
          <w:rFonts w:ascii="Times New Roman" w:eastAsia="Times New Roman" w:hAnsi="Times New Roman" w:cs="Times New Roman"/>
          <w:sz w:val="24"/>
          <w:szCs w:val="24"/>
        </w:rPr>
        <w:t>o por susposto déficit, que impediria a regular estabilidade do sistema previdenciário ao longo dos anos, caso não fossem implementadas as medidas previstas em seu texto. Todavia, não houve qualquer indicação a estudo atuarial realizado por metologia idône</w:t>
      </w:r>
      <w:r>
        <w:rPr>
          <w:rFonts w:ascii="Times New Roman" w:eastAsia="Times New Roman" w:hAnsi="Times New Roman" w:cs="Times New Roman"/>
          <w:sz w:val="24"/>
          <w:szCs w:val="24"/>
        </w:rPr>
        <w:t>a para a comprovação da existência de déficit, violando frontalmente disposições constitucionais. Dessa forma, é medida se impõe o afastamento, em relação aos associados da Autora, das alterações anteriormente elencadas. Senão vejamos.</w:t>
      </w: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u w:val="single"/>
        </w:rPr>
        <w:t>DO DIREITO</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Passa-se a demostrar as diversas violações constitucionais e legais que a Emenda Constitucional 103/2019 provocou no ordenamento pátrio. </w:t>
      </w:r>
    </w:p>
    <w:p w:rsidR="00E767FA" w:rsidRDefault="002D6CE4">
      <w:pPr>
        <w:numPr>
          <w:ilvl w:val="1"/>
          <w:numId w:val="1"/>
        </w:numPr>
        <w:pBdr>
          <w:top w:val="nil"/>
          <w:left w:val="nil"/>
          <w:bottom w:val="nil"/>
          <w:right w:val="nil"/>
          <w:between w:val="nil"/>
        </w:pBdr>
        <w:spacing w:line="360" w:lineRule="auto"/>
        <w:jc w:val="center"/>
      </w:pPr>
      <w:r>
        <w:rPr>
          <w:rFonts w:ascii="Times New Roman" w:eastAsia="Times New Roman" w:hAnsi="Times New Roman" w:cs="Times New Roman"/>
          <w:b/>
          <w:color w:val="000000"/>
          <w:sz w:val="24"/>
          <w:szCs w:val="24"/>
        </w:rPr>
        <w:t xml:space="preserve"> ARTS. 40, </w:t>
      </w:r>
      <w:r>
        <w:rPr>
          <w:rFonts w:ascii="Times New Roman" w:eastAsia="Times New Roman" w:hAnsi="Times New Roman" w:cs="Times New Roman"/>
          <w:b/>
          <w:i/>
          <w:color w:val="000000"/>
          <w:sz w:val="24"/>
          <w:szCs w:val="24"/>
        </w:rPr>
        <w:t>CAPUT</w:t>
      </w:r>
      <w:r>
        <w:rPr>
          <w:rFonts w:ascii="Times New Roman" w:eastAsia="Times New Roman" w:hAnsi="Times New Roman" w:cs="Times New Roman"/>
          <w:b/>
          <w:color w:val="000000"/>
          <w:sz w:val="24"/>
          <w:szCs w:val="24"/>
        </w:rPr>
        <w:t>, E 195,</w:t>
      </w:r>
      <w:r>
        <w:rPr>
          <w:rFonts w:ascii="Times New Roman" w:eastAsia="Times New Roman" w:hAnsi="Times New Roman" w:cs="Times New Roman"/>
          <w:b/>
          <w:i/>
          <w:color w:val="000000"/>
          <w:sz w:val="24"/>
          <w:szCs w:val="24"/>
        </w:rPr>
        <w:t xml:space="preserve"> CAPUT</w:t>
      </w:r>
      <w:r>
        <w:rPr>
          <w:rFonts w:ascii="Times New Roman" w:eastAsia="Times New Roman" w:hAnsi="Times New Roman" w:cs="Times New Roman"/>
          <w:b/>
          <w:color w:val="000000"/>
          <w:sz w:val="24"/>
          <w:szCs w:val="24"/>
        </w:rPr>
        <w:t>, E PARÁGRAFO 5º, DA CONSTITUIÇÃO FEDERAL: OFENSA AO PRINCÍPIO DA SOLIDARIEDADE E AO CAR</w:t>
      </w:r>
      <w:r>
        <w:rPr>
          <w:rFonts w:ascii="Times New Roman" w:eastAsia="Times New Roman" w:hAnsi="Times New Roman" w:cs="Times New Roman"/>
          <w:b/>
          <w:color w:val="000000"/>
          <w:sz w:val="24"/>
          <w:szCs w:val="24"/>
        </w:rPr>
        <w:t>ÁTER CONTRIBUTIVO DO SISTEMA PREVIDENCIÁRIO</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Constituição Federal estabelece como dois grandes vetores do Regime Próprio de Previdência Social o seu caráter contributivo e o princípio da solidariedade. O princípio da solidariedade, pedra angular do financ</w:t>
      </w:r>
      <w:r>
        <w:rPr>
          <w:rFonts w:ascii="Times New Roman" w:eastAsia="Times New Roman" w:hAnsi="Times New Roman" w:cs="Times New Roman"/>
          <w:color w:val="000000"/>
          <w:sz w:val="24"/>
          <w:szCs w:val="24"/>
        </w:rPr>
        <w:t xml:space="preserve">iamento da seguridade social no Brasil, expressamente previsto nos arts. 40 e 195, </w:t>
      </w:r>
      <w:r>
        <w:rPr>
          <w:rFonts w:ascii="Times New Roman" w:eastAsia="Times New Roman" w:hAnsi="Times New Roman" w:cs="Times New Roman"/>
          <w:i/>
          <w:color w:val="000000"/>
          <w:sz w:val="24"/>
          <w:szCs w:val="24"/>
        </w:rPr>
        <w:t>caput</w:t>
      </w:r>
      <w:r>
        <w:rPr>
          <w:rFonts w:ascii="Times New Roman" w:eastAsia="Times New Roman" w:hAnsi="Times New Roman" w:cs="Times New Roman"/>
          <w:color w:val="000000"/>
          <w:sz w:val="24"/>
          <w:szCs w:val="24"/>
        </w:rPr>
        <w:t>, da Constituição Federal, impõe que o ônus de proteção social deve ser partilhado por toda a sociedade. Assim, tanto o Estado quanto os cidadãos devem contribuir, dent</w:t>
      </w:r>
      <w:r>
        <w:rPr>
          <w:rFonts w:ascii="Times New Roman" w:eastAsia="Times New Roman" w:hAnsi="Times New Roman" w:cs="Times New Roman"/>
          <w:color w:val="000000"/>
          <w:sz w:val="24"/>
          <w:szCs w:val="24"/>
        </w:rPr>
        <w:t>ro das suas capacidades e de maneira equânime, para que seja possível garantir direitos sociais básicos para todos, de modo a promover igualdade material.</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Noutro giro, o seu caráter contributivo, previsto no art. 40, caput, e no art. 195, § 5º,  da CRFB/88</w:t>
      </w:r>
      <w:r>
        <w:rPr>
          <w:rFonts w:ascii="Times New Roman" w:eastAsia="Times New Roman" w:hAnsi="Times New Roman" w:cs="Times New Roman"/>
          <w:sz w:val="24"/>
          <w:szCs w:val="24"/>
        </w:rPr>
        <w:t>, impõe a existência de uma mínima referibilidade entre o que se paga e o que se recebe. Em outra palavras, é necessário que se configure certa correspondência entre a contribuição recolhida e o benefício previdenciário percebido pelo segurado.</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Contudo, a Emenda Constitucional 103/2019 violou frontalmente os referidos dispositivos ao promover a instituição de alíquotas progressivas, o alargamento da base de cálculo das contribuições devidas pelos aposentados e pensionistas e a possibilidade de im</w:t>
      </w:r>
      <w:r>
        <w:rPr>
          <w:rFonts w:ascii="Times New Roman" w:eastAsia="Times New Roman" w:hAnsi="Times New Roman" w:cs="Times New Roman"/>
          <w:sz w:val="24"/>
          <w:szCs w:val="24"/>
        </w:rPr>
        <w:t xml:space="preserve">plantação de contribuição extraordinária, como estratégias para equacionar possível déficit atuarial.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sentido, a Reforma da Previdência passou a permitir a instituição de alíquotas progressivas de contribuição previdenciária, provisoriamente fixadas</w:t>
      </w:r>
      <w:r>
        <w:rPr>
          <w:rFonts w:ascii="Times New Roman" w:eastAsia="Times New Roman" w:hAnsi="Times New Roman" w:cs="Times New Roman"/>
          <w:sz w:val="24"/>
          <w:szCs w:val="24"/>
        </w:rPr>
        <w:t xml:space="preserve"> em relação aos servidores públicos federais em percentuais que podem alcançar a alíquota de 22% (vinte e dois por cento), respeitado o percentual mínimo de de 14% (catorze por cento), conforme o art. 11,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da EC 103/2019, enquanto que a contribuição </w:t>
      </w:r>
      <w:r>
        <w:rPr>
          <w:rFonts w:ascii="Times New Roman" w:eastAsia="Times New Roman" w:hAnsi="Times New Roman" w:cs="Times New Roman"/>
          <w:sz w:val="24"/>
          <w:szCs w:val="24"/>
        </w:rPr>
        <w:t>devida pelos demais trabalhadores foi fixada em percentuais consideravelmente menores.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percebe, as alterações impostas aos servidores públicos federais resultarão em evidente aumento de suas contribuições vertidas ao RPPS, enquanto que a majoração </w:t>
      </w:r>
      <w:r>
        <w:rPr>
          <w:rFonts w:ascii="Times New Roman" w:eastAsia="Times New Roman" w:hAnsi="Times New Roman" w:cs="Times New Roman"/>
          <w:sz w:val="24"/>
          <w:szCs w:val="24"/>
        </w:rPr>
        <w:t>aplicada aos demais agentes da sociedade se apresentou em percentuais substancialmente inferiores, algo que contraria frontalmente o princípio da solidariedade preconizado pelo texto constitucional.</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contrário do que pretendeu o Governo Federal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durante o início da tramitação da PEC 06/2019, que originou a Reforma da Previdência, não se pode defender a ideia de que os servidores públicos auferem rendimentos vultosos e, portanto, são os verdadeiros culpados do suposto déficit previdenciário, de m</w:t>
      </w:r>
      <w:r>
        <w:rPr>
          <w:rFonts w:ascii="Times New Roman" w:eastAsia="Times New Roman" w:hAnsi="Times New Roman" w:cs="Times New Roman"/>
          <w:sz w:val="24"/>
          <w:szCs w:val="24"/>
        </w:rPr>
        <w:t>odo a justificar a necessidade de de lhes aplicar exações maiores que aos demais trabalhadores.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verdade, é necessário destacar que os servidores públicos exercem atividade essencial à realização das funções estatais, não sendo possível realizar qualquer</w:t>
      </w:r>
      <w:r>
        <w:rPr>
          <w:rFonts w:ascii="Times New Roman" w:eastAsia="Times New Roman" w:hAnsi="Times New Roman" w:cs="Times New Roman"/>
          <w:sz w:val="24"/>
          <w:szCs w:val="24"/>
        </w:rPr>
        <w:t xml:space="preserve"> distinção entre eles e os demais trabalhadores da iniciativa privada tendo como fundamento somente a ocupação profissional ou função exercida por esses contribuintes, o que é vedado pelo art. 150, II, da Constituição Federal.</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além das implicações em </w:t>
      </w:r>
      <w:r>
        <w:rPr>
          <w:rFonts w:ascii="Times New Roman" w:eastAsia="Times New Roman" w:hAnsi="Times New Roman" w:cs="Times New Roman"/>
          <w:sz w:val="24"/>
          <w:szCs w:val="24"/>
        </w:rPr>
        <w:t>termos de quebra de solidariedade, como já adiantado, os dispositivos impugnados violam a necessária referibilidade, decorrente do caráter contributivo, que há de existir no Sistema Próprio de Previdência Social. A Carta Magna impõe como fundamento element</w:t>
      </w:r>
      <w:r>
        <w:rPr>
          <w:rFonts w:ascii="Times New Roman" w:eastAsia="Times New Roman" w:hAnsi="Times New Roman" w:cs="Times New Roman"/>
          <w:sz w:val="24"/>
          <w:szCs w:val="24"/>
        </w:rPr>
        <w:t>ar do sistema previdenciário a noção de que não há benefício sem contribuição e, da mesma forma, não pode haver contribuição sem benefício.</w:t>
      </w:r>
    </w:p>
    <w:p w:rsidR="00E767FA" w:rsidRDefault="002D6CE4">
      <w:pPr>
        <w:pBdr>
          <w:top w:val="nil"/>
          <w:left w:val="nil"/>
          <w:bottom w:val="nil"/>
          <w:right w:val="nil"/>
          <w:between w:val="nil"/>
        </w:pBdr>
        <w:spacing w:before="60" w:after="60" w:line="36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breve retrospecto sobre a consolidação destes vetores no ordenamento pátrio, cumpre destacar que o caráter contri</w:t>
      </w:r>
      <w:r>
        <w:rPr>
          <w:rFonts w:ascii="Times New Roman" w:eastAsia="Times New Roman" w:hAnsi="Times New Roman" w:cs="Times New Roman"/>
          <w:color w:val="000000"/>
          <w:sz w:val="24"/>
          <w:szCs w:val="24"/>
        </w:rPr>
        <w:t xml:space="preserve">butivo do RPPS foi implementado por meio da Emenda Constitucional 03/1993, tendo sido reforçado por meio da EC 20/98, que consagrou a base de cálculo dos proventos de aposentadoria como sendo a remuneração percebida pelo servidor quando em atividade. </w:t>
      </w:r>
    </w:p>
    <w:p w:rsidR="00E767FA" w:rsidRDefault="002D6CE4">
      <w:pPr>
        <w:pBdr>
          <w:top w:val="nil"/>
          <w:left w:val="nil"/>
          <w:bottom w:val="nil"/>
          <w:right w:val="nil"/>
          <w:between w:val="nil"/>
        </w:pBdr>
        <w:spacing w:before="60" w:after="60" w:line="36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Nout</w:t>
      </w:r>
      <w:r>
        <w:rPr>
          <w:rFonts w:ascii="Times New Roman" w:eastAsia="Times New Roman" w:hAnsi="Times New Roman" w:cs="Times New Roman"/>
          <w:color w:val="000000"/>
          <w:sz w:val="24"/>
          <w:szCs w:val="24"/>
        </w:rPr>
        <w:t>ro giro, o princípio da solidariedade foi introduzido na Constiuição em momento posterior por meio da Emenda Constitucional 41/03, não possuindo o condão de revogar o caráter contributivo anteriormente implementado. Muito pelo contrário, deve ser interpret</w:t>
      </w:r>
      <w:r>
        <w:rPr>
          <w:rFonts w:ascii="Times New Roman" w:eastAsia="Times New Roman" w:hAnsi="Times New Roman" w:cs="Times New Roman"/>
          <w:color w:val="000000"/>
          <w:sz w:val="24"/>
          <w:szCs w:val="24"/>
        </w:rPr>
        <w:t xml:space="preserve">ado de modo harmônico com o caráter contributivo da previdência. </w:t>
      </w:r>
    </w:p>
    <w:p w:rsidR="00E767FA" w:rsidRDefault="002D6CE4">
      <w:pPr>
        <w:pBdr>
          <w:top w:val="nil"/>
          <w:left w:val="nil"/>
          <w:bottom w:val="nil"/>
          <w:right w:val="nil"/>
          <w:between w:val="nil"/>
        </w:pBdr>
        <w:spacing w:before="60" w:after="60" w:line="36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sentido, conforme já sedimentado pelo E. STF, o sistema de previdência está relacionado a busca de equilíbrio entre ambos os vetores. Isto é, se por um lado não se pode permitir a conc</w:t>
      </w:r>
      <w:r>
        <w:rPr>
          <w:rFonts w:ascii="Times New Roman" w:eastAsia="Times New Roman" w:hAnsi="Times New Roman" w:cs="Times New Roman"/>
          <w:color w:val="000000"/>
          <w:sz w:val="24"/>
          <w:szCs w:val="24"/>
        </w:rPr>
        <w:t>essão de benefícios sem que se institua uma prévia fonte de custeio (por meio de novas ou maiores contribuições), por outro lado não se admite um aumento no valor de contribuições sem que se tenha um impacto correspondente em termos de benefício previdenci</w:t>
      </w:r>
      <w:r>
        <w:rPr>
          <w:rFonts w:ascii="Times New Roman" w:eastAsia="Times New Roman" w:hAnsi="Times New Roman" w:cs="Times New Roman"/>
          <w:color w:val="000000"/>
          <w:sz w:val="24"/>
          <w:szCs w:val="24"/>
        </w:rPr>
        <w:t>ário.</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presente caso, contudo, fica muito claro o rompimento dessa lógica do sistema previdenciário, na medida em que são instituídas alíquotas progressivas e possibilidade de contribuição extraordinária para equacionamento de déficit, majorando-se subst</w:t>
      </w:r>
      <w:r>
        <w:rPr>
          <w:rFonts w:ascii="Times New Roman" w:eastAsia="Times New Roman" w:hAnsi="Times New Roman" w:cs="Times New Roman"/>
          <w:sz w:val="24"/>
          <w:szCs w:val="24"/>
        </w:rPr>
        <w:t>ancialmente o valor das contribuições, sem que haja qualquer incremento nos benefícios devidos aos servidores públicos segurados.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a o Supremo Tribunal Federal no julgamento da ADI nº 2010/DF se posicionou quanto à necessidade do equilíbrio e</w:t>
      </w:r>
      <w:r>
        <w:rPr>
          <w:rFonts w:ascii="Times New Roman" w:eastAsia="Times New Roman" w:hAnsi="Times New Roman" w:cs="Times New Roman"/>
          <w:sz w:val="24"/>
          <w:szCs w:val="24"/>
        </w:rPr>
        <w:t xml:space="preserve">ntre fonte de custeio e benefício previdenciário, declarando inconstitucional a majoração de contribuição previdenciária sem a </w:t>
      </w:r>
      <w:r>
        <w:rPr>
          <w:rFonts w:ascii="Times New Roman" w:eastAsia="Times New Roman" w:hAnsi="Times New Roman" w:cs="Times New Roman"/>
          <w:sz w:val="24"/>
          <w:szCs w:val="24"/>
        </w:rPr>
        <w:lastRenderedPageBreak/>
        <w:t>necessária contrapartida ao segurado pelo regime de previdência. Senão vejamos trecho do voto do Ministro Celso de Mello:</w:t>
      </w:r>
    </w:p>
    <w:p w:rsidR="00E767FA" w:rsidRDefault="002D6CE4">
      <w:pPr>
        <w:ind w:left="17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 é ce</w:t>
      </w:r>
      <w:r>
        <w:rPr>
          <w:rFonts w:ascii="Times New Roman" w:eastAsia="Times New Roman" w:hAnsi="Times New Roman" w:cs="Times New Roman"/>
          <w:b/>
          <w:sz w:val="24"/>
          <w:szCs w:val="24"/>
          <w:u w:val="single"/>
        </w:rPr>
        <w:t>rto, portanto, que nenhum benefício ou serviço da seguridade social poderá ser criado, majorado ou estendido sem a correspondente fonte de custeio total (CF, art. 195, §5º), não é menos exato que também não será lícito, sob a perspectiva estritamente const</w:t>
      </w:r>
      <w:r>
        <w:rPr>
          <w:rFonts w:ascii="Times New Roman" w:eastAsia="Times New Roman" w:hAnsi="Times New Roman" w:cs="Times New Roman"/>
          <w:b/>
          <w:sz w:val="24"/>
          <w:szCs w:val="24"/>
          <w:u w:val="single"/>
        </w:rPr>
        <w:t>itucional, instituir ou majorar contribuição para custear a seguridade social sem que assista, àquele que é compelido a contribuir, o direito de acesso a novos benefícios ou a novos serviços.</w:t>
      </w:r>
      <w:r>
        <w:rPr>
          <w:rFonts w:ascii="Times New Roman" w:eastAsia="Times New Roman" w:hAnsi="Times New Roman" w:cs="Times New Roman"/>
          <w:sz w:val="24"/>
          <w:szCs w:val="24"/>
        </w:rPr>
        <w:t xml:space="preserve"> </w:t>
      </w:r>
    </w:p>
    <w:p w:rsidR="00E767FA" w:rsidRDefault="002D6CE4">
      <w:pPr>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 nº 2.010/DF-MC, Tribunal Pleno, Relator o Ministro Celso d</w:t>
      </w:r>
      <w:r>
        <w:rPr>
          <w:rFonts w:ascii="Times New Roman" w:eastAsia="Times New Roman" w:hAnsi="Times New Roman" w:cs="Times New Roman"/>
          <w:sz w:val="24"/>
          <w:szCs w:val="24"/>
        </w:rPr>
        <w:t>e Mello, DJ de 12/4/02 - grifamos).</w:t>
      </w:r>
    </w:p>
    <w:p w:rsidR="00E767FA" w:rsidRDefault="00E767FA">
      <w:pPr>
        <w:ind w:left="1701"/>
        <w:jc w:val="both"/>
        <w:rPr>
          <w:rFonts w:ascii="Times New Roman" w:eastAsia="Times New Roman" w:hAnsi="Times New Roman" w:cs="Times New Roman"/>
          <w:b/>
          <w:sz w:val="24"/>
          <w:szCs w:val="24"/>
          <w:u w:val="single"/>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esteira também se firmou o entendimento da Suprema Corte no julgamento da ADI 790-4/DF:</w:t>
      </w:r>
    </w:p>
    <w:p w:rsidR="00E767FA" w:rsidRDefault="002D6CE4">
      <w:pPr>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à regra segundo a qual nenhum benefício da seguridade social poderá ser criado, majorado, ou estendido sem a correspond</w:t>
      </w:r>
      <w:r>
        <w:rPr>
          <w:rFonts w:ascii="Times New Roman" w:eastAsia="Times New Roman" w:hAnsi="Times New Roman" w:cs="Times New Roman"/>
          <w:b/>
          <w:sz w:val="24"/>
          <w:szCs w:val="24"/>
          <w:u w:val="single"/>
        </w:rPr>
        <w:t>ente fonte de custeio total, correspondente à relativa exigibilidade de causa eficiente para a majoração, sob pena de esta última discrepar do móvel que lhe é próprio, ligado ao equilíbrio atuarial entre contribuições e benefícios, implicando, ai sim, um a</w:t>
      </w:r>
      <w:r>
        <w:rPr>
          <w:rFonts w:ascii="Times New Roman" w:eastAsia="Times New Roman" w:hAnsi="Times New Roman" w:cs="Times New Roman"/>
          <w:b/>
          <w:sz w:val="24"/>
          <w:szCs w:val="24"/>
          <w:u w:val="single"/>
        </w:rPr>
        <w:t xml:space="preserve">dicional sobre a renda do trabalhador. </w:t>
      </w:r>
    </w:p>
    <w:p w:rsidR="00E767FA" w:rsidRDefault="002D6CE4">
      <w:pPr>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 790-4/DF, Relator Ministro Marco Aurélio, Tribunal Pleno, julgado em 26/02/1993, DJ 23/04/1993, p. 6918 - grifamos)</w:t>
      </w:r>
    </w:p>
    <w:p w:rsidR="00E767FA" w:rsidRDefault="00E767FA">
      <w:pPr>
        <w:ind w:left="1701" w:firstLine="5"/>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por outro motivo, durante o julgamento do RE nº 963.068, o E.   STF também manifestou-se n</w:t>
      </w:r>
      <w:r>
        <w:rPr>
          <w:rFonts w:ascii="Times New Roman" w:eastAsia="Times New Roman" w:hAnsi="Times New Roman" w:cs="Times New Roman"/>
          <w:sz w:val="24"/>
          <w:szCs w:val="24"/>
        </w:rPr>
        <w:t>o sentido de que a instituição contribuição desarrazoada fere de morte o princípio da referibilidade e o equilíbrio financeiro atuarial, sendo vedado pela Constituição a tributação sobre base incoerente com a necessária referibilidade entre remuneração e c</w:t>
      </w:r>
      <w:r>
        <w:rPr>
          <w:rFonts w:ascii="Times New Roman" w:eastAsia="Times New Roman" w:hAnsi="Times New Roman" w:cs="Times New Roman"/>
          <w:sz w:val="24"/>
          <w:szCs w:val="24"/>
        </w:rPr>
        <w:t xml:space="preserve">ontribuição. Vejamos a ementa do referido julgado. </w:t>
      </w:r>
    </w:p>
    <w:p w:rsidR="00E767FA" w:rsidRDefault="002D6CE4">
      <w:pPr>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DIREITO PREVIDENCIÁRIO. RECURSO EXTRAORDINÁRIO COMREPERCUSSÃO GERAL. REGIME PRÓPRIO DOS SERVIDORES PÚBLICOS. NÃO INCIDÊNCIA DE CONTRIBUIÇÕES PREVIDENCIÁRIAS SOBRE PARCELAS NÃO INCORPORÁVEIS À APOSENTADORIA.</w:t>
      </w:r>
    </w:p>
    <w:p w:rsidR="00E767FA" w:rsidRDefault="002D6CE4">
      <w:pPr>
        <w:spacing w:after="0" w:line="24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 1. O regime previdenciário próprio, aplicável ao</w:t>
      </w:r>
      <w:r>
        <w:rPr>
          <w:rFonts w:ascii="Times New Roman" w:eastAsia="Times New Roman" w:hAnsi="Times New Roman" w:cs="Times New Roman"/>
          <w:b/>
          <w:sz w:val="24"/>
          <w:szCs w:val="24"/>
          <w:u w:val="single"/>
        </w:rPr>
        <w:t>s servidores públicos, rege-se pelas normas expressas do art. 40 da Constituição, e por dois vetores sistêmicos: (a) o caráter contributivo; e (b) o princípio da solidariedade.</w:t>
      </w:r>
    </w:p>
    <w:p w:rsidR="00E767FA" w:rsidRDefault="002D6CE4">
      <w:pPr>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leitura dos §§ 3º e 12 do art. 40, c/c o § 11 do art. 201 da CF, deixa cla</w:t>
      </w:r>
      <w:r>
        <w:rPr>
          <w:rFonts w:ascii="Times New Roman" w:eastAsia="Times New Roman" w:hAnsi="Times New Roman" w:cs="Times New Roman"/>
          <w:sz w:val="24"/>
          <w:szCs w:val="24"/>
        </w:rPr>
        <w:t>ro que somente devem figurar como base de cálculo da contribuição previdenciária as remunerações/ganhos habituais que tenham “repercussão em benefícios”. Como consequência, ficam excluídas as verbas que não se incorporam à aposentadoria.</w:t>
      </w:r>
    </w:p>
    <w:p w:rsidR="00E767FA" w:rsidRDefault="002D6CE4">
      <w:pPr>
        <w:spacing w:after="0" w:line="24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Ademais, a dime</w:t>
      </w:r>
      <w:r>
        <w:rPr>
          <w:rFonts w:ascii="Times New Roman" w:eastAsia="Times New Roman" w:hAnsi="Times New Roman" w:cs="Times New Roman"/>
          <w:b/>
          <w:sz w:val="24"/>
          <w:szCs w:val="24"/>
          <w:u w:val="single"/>
        </w:rPr>
        <w:t>nsão contributiva do sistema é incompatível com a cobrança de contribuição previdenciária sem que se confira ao segurado qualquer benefício, efetivo ou potencial.</w:t>
      </w:r>
    </w:p>
    <w:p w:rsidR="00E767FA" w:rsidRDefault="002D6CE4">
      <w:pPr>
        <w:spacing w:after="0" w:line="24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Por fim, não é possível invocar o princípio da solidariedade para inovar no tocante à regr</w:t>
      </w:r>
      <w:r>
        <w:rPr>
          <w:rFonts w:ascii="Times New Roman" w:eastAsia="Times New Roman" w:hAnsi="Times New Roman" w:cs="Times New Roman"/>
          <w:b/>
          <w:sz w:val="24"/>
          <w:szCs w:val="24"/>
          <w:u w:val="single"/>
        </w:rPr>
        <w:t xml:space="preserve">a que estabelece a base econômica do tributo. </w:t>
      </w:r>
    </w:p>
    <w:p w:rsidR="00E767FA" w:rsidRDefault="002D6CE4">
      <w:pPr>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À luz das premissas estabelecidas, é fixada em repercussão geral a seguinte tese: “Não incide contribuição previdenciária sobre verba não incorporável aos proventos de aposentadoria do servidor público, tai</w:t>
      </w:r>
      <w:r>
        <w:rPr>
          <w:rFonts w:ascii="Times New Roman" w:eastAsia="Times New Roman" w:hAnsi="Times New Roman" w:cs="Times New Roman"/>
          <w:sz w:val="24"/>
          <w:szCs w:val="24"/>
        </w:rPr>
        <w:t>s como ‘terço de férias’, ‘serviços extraordinários’, ‘adicional noturno’ e ‘adicional de insalubridade.”</w:t>
      </w:r>
    </w:p>
    <w:p w:rsidR="00E767FA" w:rsidRDefault="002D6CE4">
      <w:pPr>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Provimento parcial do recurso extraordinário, para determinar a restituição das parcelas não prescritas.</w:t>
      </w:r>
    </w:p>
    <w:p w:rsidR="00E767FA" w:rsidRDefault="002D6CE4">
      <w:pPr>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(STF. RE 593.068/SC. Relator Ministro Robe</w:t>
      </w:r>
      <w:r>
        <w:rPr>
          <w:rFonts w:ascii="Times New Roman" w:eastAsia="Times New Roman" w:hAnsi="Times New Roman" w:cs="Times New Roman"/>
          <w:sz w:val="24"/>
          <w:szCs w:val="24"/>
        </w:rPr>
        <w:t>rto Barroso. Julgado em 11/10/2018. Acórdão publicado no DJE em 22/03/2019- grifamos)</w:t>
      </w:r>
    </w:p>
    <w:p w:rsidR="00E767FA" w:rsidRDefault="00E767FA">
      <w:pPr>
        <w:spacing w:before="120" w:after="120" w:line="360" w:lineRule="auto"/>
        <w:ind w:firstLine="141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como estratégia de equacionamento do déficit atuarial, os servidores aposentados e pensionistas deverão arcar com a instituição de contribuição sobre os proventos</w:t>
      </w:r>
      <w:r>
        <w:rPr>
          <w:rFonts w:ascii="Times New Roman" w:eastAsia="Times New Roman" w:hAnsi="Times New Roman" w:cs="Times New Roman"/>
          <w:sz w:val="24"/>
          <w:szCs w:val="24"/>
        </w:rPr>
        <w:t xml:space="preserve"> que superem o salário mínimo. Sendo que, caso esta medida não se mostre efetiva, é facultado ao Poder Público a instituição de alíquota de contribuição previdenciária extraordinária, possibilitando que a exação suportada pelos servidores possa aumentar ex</w:t>
      </w:r>
      <w:r>
        <w:rPr>
          <w:rFonts w:ascii="Times New Roman" w:eastAsia="Times New Roman" w:hAnsi="Times New Roman" w:cs="Times New Roman"/>
          <w:sz w:val="24"/>
          <w:szCs w:val="24"/>
        </w:rPr>
        <w:t xml:space="preserve">ponencialmente, sem que ocorra qualquer contraprestação ou incremento de seu benefício previdenciário.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extrai da fundamentação acima esposada, é possível afirmar que os servidores públicos federais foram escolhidos, arbitrariamente, para arcar com</w:t>
      </w:r>
      <w:r>
        <w:rPr>
          <w:rFonts w:ascii="Times New Roman" w:eastAsia="Times New Roman" w:hAnsi="Times New Roman" w:cs="Times New Roman"/>
          <w:sz w:val="24"/>
          <w:szCs w:val="24"/>
        </w:rPr>
        <w:t xml:space="preserve"> alíquotas de contribuição previdenciária em percentuais consideravelmente superiores às demais classes de trabalhadores, sem que percebam qualquer incremento em seu benefícios, em grave violação aos  princípios constitucionais que norteiam o sistema previ</w:t>
      </w:r>
      <w:r>
        <w:rPr>
          <w:rFonts w:ascii="Times New Roman" w:eastAsia="Times New Roman" w:hAnsi="Times New Roman" w:cs="Times New Roman"/>
          <w:sz w:val="24"/>
          <w:szCs w:val="24"/>
        </w:rPr>
        <w:t>denciário.</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Ante o exposto, as inovações trazidas pela EC 103/2019 merecem ser prontamente afastadas pelo Poder Judiciário por violação ao princípio da solidariedade a ao caráter contributivo previstos nos arts. 40,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195,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§5º, da Constituiçã</w:t>
      </w:r>
      <w:r>
        <w:rPr>
          <w:rFonts w:ascii="Times New Roman" w:eastAsia="Times New Roman" w:hAnsi="Times New Roman" w:cs="Times New Roman"/>
          <w:sz w:val="24"/>
          <w:szCs w:val="24"/>
        </w:rPr>
        <w:t>o Federal.</w:t>
      </w:r>
    </w:p>
    <w:p w:rsidR="00E767FA" w:rsidRDefault="00E767FA">
      <w:pPr>
        <w:spacing w:before="120" w:after="120" w:line="360" w:lineRule="auto"/>
        <w:ind w:firstLine="1418"/>
        <w:jc w:val="both"/>
        <w:rPr>
          <w:rFonts w:ascii="Times New Roman" w:eastAsia="Times New Roman" w:hAnsi="Times New Roman" w:cs="Times New Roman"/>
          <w:sz w:val="24"/>
          <w:szCs w:val="24"/>
        </w:rPr>
      </w:pPr>
    </w:p>
    <w:p w:rsidR="00E767FA" w:rsidRDefault="002D6CE4">
      <w:pPr>
        <w:numPr>
          <w:ilvl w:val="1"/>
          <w:numId w:val="1"/>
        </w:numPr>
        <w:pBdr>
          <w:top w:val="nil"/>
          <w:left w:val="nil"/>
          <w:bottom w:val="nil"/>
          <w:right w:val="nil"/>
          <w:between w:val="nil"/>
        </w:pBdr>
        <w:spacing w:line="360" w:lineRule="auto"/>
        <w:jc w:val="center"/>
      </w:pPr>
      <w:r>
        <w:rPr>
          <w:rFonts w:ascii="Times New Roman" w:eastAsia="Times New Roman" w:hAnsi="Times New Roman" w:cs="Times New Roman"/>
          <w:b/>
          <w:color w:val="000000"/>
          <w:sz w:val="24"/>
          <w:szCs w:val="24"/>
        </w:rPr>
        <w:t>ART. 145, § 1º, E 150, IV, DA CRFB/88: DA OFENSA AOS PRINCÍPIOS CONSTITUCIONAIS DA VEDAÇÃO DO CONFISCO E DA CAPACIDADE CONTRIBUTIVA</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alterações promovidas pela Emenda Constitucional 103/2019 também representam grave violação às disposições co</w:t>
      </w:r>
      <w:r>
        <w:rPr>
          <w:rFonts w:ascii="Times New Roman" w:eastAsia="Times New Roman" w:hAnsi="Times New Roman" w:cs="Times New Roman"/>
          <w:sz w:val="24"/>
          <w:szCs w:val="24"/>
        </w:rPr>
        <w:t>nstitucionais versadas pelos arts. 145, § 1º, e 150, IV, da CRFB 88, que impõem a necessidade de que Estado estabeleça tributos em consonância com o princípio da  capacidade contribuitiva, sendo vedado, portanto, a instituição de tributos com efeito de con</w:t>
      </w:r>
      <w:r>
        <w:rPr>
          <w:rFonts w:ascii="Times New Roman" w:eastAsia="Times New Roman" w:hAnsi="Times New Roman" w:cs="Times New Roman"/>
          <w:sz w:val="24"/>
          <w:szCs w:val="24"/>
        </w:rPr>
        <w:t>fisco. Essas garantias constitucionais têm como principal finalidade evitar que a carga tributária imposta ao contribuinte se torne onerosa, a ponto de impactar diretamente a realização de suas atividades essenciais e sua própria subsistência.</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se</w:t>
      </w:r>
      <w:r>
        <w:rPr>
          <w:rFonts w:ascii="Times New Roman" w:eastAsia="Times New Roman" w:hAnsi="Times New Roman" w:cs="Times New Roman"/>
          <w:sz w:val="24"/>
          <w:szCs w:val="24"/>
        </w:rPr>
        <w:t xml:space="preserve"> refira a suposta existência de déficit previdenciário, a capacidade impositiva do Estado em modificar as alíquotas de contribuição previdenciária anteriormente estebelecidas, bem como  modificar sua base de cálculo, deve ser limitada. Porquanto deve ser r</w:t>
      </w:r>
      <w:r>
        <w:rPr>
          <w:rFonts w:ascii="Times New Roman" w:eastAsia="Times New Roman" w:hAnsi="Times New Roman" w:cs="Times New Roman"/>
          <w:sz w:val="24"/>
          <w:szCs w:val="24"/>
        </w:rPr>
        <w:t xml:space="preserve">espeitada a capacidade do contribuinte em arcar com o valor da exação, que deve ser estabelecida em consonância com os parâmetros constitucionais da razoabilidade e proporcionalidade.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esses princípios foram prontamente olvidados pelo constituinte</w:t>
      </w:r>
      <w:r>
        <w:rPr>
          <w:rFonts w:ascii="Times New Roman" w:eastAsia="Times New Roman" w:hAnsi="Times New Roman" w:cs="Times New Roman"/>
          <w:sz w:val="24"/>
          <w:szCs w:val="24"/>
        </w:rPr>
        <w:t xml:space="preserve"> derivado na redação da Emenda Constitucional nº 103/2019 ao instituir alíquotas progressivas, com substancial majoração das contribuições previdenciárias a cargo dos servidores públicos, bem como no tocante à possibilidade de majoração de suas contribuiçõ</w:t>
      </w:r>
      <w:r>
        <w:rPr>
          <w:rFonts w:ascii="Times New Roman" w:eastAsia="Times New Roman" w:hAnsi="Times New Roman" w:cs="Times New Roman"/>
          <w:sz w:val="24"/>
          <w:szCs w:val="24"/>
        </w:rPr>
        <w:t>es por meio de tributação sobre proventos que excedam ao salário mínimo, e implantação de contribuição previdenciária extraordinária como estratégias para equacionar suposto déficit atuarial.</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jaez, a análise do impacto da tributação sobre o patrimôni</w:t>
      </w:r>
      <w:r>
        <w:rPr>
          <w:rFonts w:ascii="Times New Roman" w:eastAsia="Times New Roman" w:hAnsi="Times New Roman" w:cs="Times New Roman"/>
          <w:sz w:val="24"/>
          <w:szCs w:val="24"/>
        </w:rPr>
        <w:t>o do contribuinte deve ser feita de maneira ampla, ou seja, considerando a “carga tributária global” por ele suportada. Vejamos entendimento do E. STF quanto à matéria:</w:t>
      </w:r>
    </w:p>
    <w:p w:rsidR="00E767FA" w:rsidRDefault="002D6CE4">
      <w:pPr>
        <w:shd w:val="clear" w:color="auto" w:fill="FFFFFF"/>
        <w:ind w:left="22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 caracterização do efeito confiscatório pressupõe a análise de dados concretos e de peculiaridades de cada operação ou situação, tomando-se em conta custos, carga tributária global, margens de lucro e condições pontuais do mercado e de conjuntura social e</w:t>
      </w:r>
      <w:r>
        <w:rPr>
          <w:rFonts w:ascii="Times New Roman" w:eastAsia="Times New Roman" w:hAnsi="Times New Roman" w:cs="Times New Roman"/>
          <w:b/>
          <w:sz w:val="24"/>
          <w:szCs w:val="24"/>
          <w:u w:val="single"/>
        </w:rPr>
        <w:t xml:space="preserve"> econômica </w:t>
      </w:r>
      <w:r>
        <w:rPr>
          <w:rFonts w:ascii="Times New Roman" w:eastAsia="Times New Roman" w:hAnsi="Times New Roman" w:cs="Times New Roman"/>
          <w:sz w:val="24"/>
          <w:szCs w:val="24"/>
        </w:rPr>
        <w:t>(...). O isolado aumento da alíquota do tributo é insuficiente para comprovar a absorção total ou demasiada do produto econômico da atividade privada, de modo a torná-la inviável ou excessivamente onerosa. (</w:t>
      </w:r>
      <w:hyperlink r:id="rId13">
        <w:r>
          <w:rPr>
            <w:rFonts w:ascii="Times New Roman" w:eastAsia="Times New Roman" w:hAnsi="Times New Roman" w:cs="Times New Roman"/>
            <w:sz w:val="24"/>
            <w:szCs w:val="24"/>
          </w:rPr>
          <w:t>RE 448.432 AgR</w:t>
        </w:r>
      </w:hyperlink>
      <w:r>
        <w:rPr>
          <w:rFonts w:ascii="Times New Roman" w:eastAsia="Times New Roman" w:hAnsi="Times New Roman" w:cs="Times New Roman"/>
          <w:sz w:val="24"/>
          <w:szCs w:val="24"/>
        </w:rPr>
        <w:t>, rel. min. Joaquim Barbosa, j. 20-4-2010, 2ª T, DJE de 28-5-2010.- grifamos)</w:t>
      </w:r>
    </w:p>
    <w:p w:rsidR="00E767FA" w:rsidRDefault="00E767FA">
      <w:pPr>
        <w:shd w:val="clear" w:color="auto" w:fill="FFFFFF"/>
        <w:ind w:left="226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conforme adiantado, os servidores estarão sujeitos a alíquotas progressivas que alcançam o elevado</w:t>
      </w:r>
      <w:r>
        <w:rPr>
          <w:rFonts w:ascii="Times New Roman" w:eastAsia="Times New Roman" w:hAnsi="Times New Roman" w:cs="Times New Roman"/>
          <w:sz w:val="24"/>
          <w:szCs w:val="24"/>
        </w:rPr>
        <w:t xml:space="preserve"> percentual de 22%, possibilitando que a alíquota anteriormente estabelecida em 11%, possa ser majorada de modo a alcançar o até o patamar de 16,86%.</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Conforme entendimento jurisprudencial esposado, para fins de aferimento do efeito confiscatório, a alíquo</w:t>
      </w:r>
      <w:r>
        <w:rPr>
          <w:rFonts w:ascii="Times New Roman" w:eastAsia="Times New Roman" w:hAnsi="Times New Roman" w:cs="Times New Roman"/>
          <w:sz w:val="24"/>
          <w:szCs w:val="24"/>
        </w:rPr>
        <w:t>ta devida a título de contribuição deve ser analisada em conjunto com os demais tributos suportados pelos servidores públicos. A exemplo, temos que a contribuição previdenciária, conforme estabelecido pela EC 103/2019, somada à alíquota de imposto de renda</w:t>
      </w:r>
      <w:r>
        <w:rPr>
          <w:rFonts w:ascii="Times New Roman" w:eastAsia="Times New Roman" w:hAnsi="Times New Roman" w:cs="Times New Roman"/>
          <w:sz w:val="24"/>
          <w:szCs w:val="24"/>
        </w:rPr>
        <w:t xml:space="preserve"> e à tributação sobre consumo, resultará no destinação de cerca de 40% dos rendimentos mensais dos servidores aos cofres públicos como pagamento de tributos.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não são compatíveis com o ordenamento jurídico pátrio as inovações da EC 103/2019, por viol</w:t>
      </w:r>
      <w:r>
        <w:rPr>
          <w:rFonts w:ascii="Times New Roman" w:eastAsia="Times New Roman" w:hAnsi="Times New Roman" w:cs="Times New Roman"/>
          <w:sz w:val="24"/>
          <w:szCs w:val="24"/>
        </w:rPr>
        <w:t xml:space="preserve">arem a capacidade contributiva dos servidores públicos ao permitir o desproporcional e arbitrário confisco de seus rendimentos, ferindo de morte os arts. 145. §1° e 150, IV da Constituição Federal.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mais, a Corte Suprema possui vasta jurisprudência no sentido da inconstitucionalidade da instituição de alíquotas progressivas das contribuições previdenciárias, eis que ofende as balizas principiológicas aqui tratadas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rsidR="00E767FA" w:rsidRDefault="002D6CE4">
      <w:pPr>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Agravo regimental no recurso </w:t>
      </w:r>
      <w:r>
        <w:rPr>
          <w:rFonts w:ascii="Times New Roman" w:eastAsia="Times New Roman" w:hAnsi="Times New Roman" w:cs="Times New Roman"/>
          <w:sz w:val="24"/>
          <w:szCs w:val="24"/>
        </w:rPr>
        <w:t xml:space="preserve">extraordinário. Previdenciário. Servidor público. Contribuição previdenciária. Alíquota progressiva. Impossibilidade. Precedentes. </w:t>
      </w:r>
      <w:r>
        <w:rPr>
          <w:rFonts w:ascii="Times New Roman" w:eastAsia="Times New Roman" w:hAnsi="Times New Roman" w:cs="Times New Roman"/>
          <w:b/>
          <w:sz w:val="24"/>
          <w:szCs w:val="24"/>
          <w:u w:val="single"/>
        </w:rPr>
        <w:t>1. Esta Corte já decidiu que a instituição de alíquotas progressivas para a contribuição previdenciária dos servidores públic</w:t>
      </w:r>
      <w:r>
        <w:rPr>
          <w:rFonts w:ascii="Times New Roman" w:eastAsia="Times New Roman" w:hAnsi="Times New Roman" w:cs="Times New Roman"/>
          <w:b/>
          <w:sz w:val="24"/>
          <w:szCs w:val="24"/>
          <w:u w:val="single"/>
        </w:rPr>
        <w:t>os ofende o princípio da vedação à utilização de qualquer tributo com efeito de confisco (art. 150, inciso IV, da Constituição Federal).</w:t>
      </w:r>
      <w:r>
        <w:rPr>
          <w:rFonts w:ascii="Times New Roman" w:eastAsia="Times New Roman" w:hAnsi="Times New Roman" w:cs="Times New Roman"/>
          <w:sz w:val="24"/>
          <w:szCs w:val="24"/>
        </w:rPr>
        <w:t xml:space="preserve"> 2. Agravo regimental não provido. (RE 346197 AgR, Relator(a): Min. DIAS TOFFOLI, Primeira Turma, julgado em 16/10/2012,</w:t>
      </w:r>
      <w:r>
        <w:rPr>
          <w:rFonts w:ascii="Times New Roman" w:eastAsia="Times New Roman" w:hAnsi="Times New Roman" w:cs="Times New Roman"/>
          <w:sz w:val="24"/>
          <w:szCs w:val="24"/>
        </w:rPr>
        <w:t xml:space="preserve"> ACÓRDÃO ELETRÔNICO DJe-222 DIVULG 09-11-2012 PUBLIC 12-11-2012 - grifamos)</w:t>
      </w:r>
    </w:p>
    <w:p w:rsidR="00E767FA" w:rsidRDefault="00E767FA">
      <w:pPr>
        <w:ind w:left="1701" w:firstLine="5"/>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Especificamente no tocante à instituição de alíquotas progressivas, o E. STF possui jurisprudência sedimentada no sentido de que a sua utilização é possível somente nas hipóteses </w:t>
      </w:r>
      <w:r>
        <w:rPr>
          <w:rFonts w:ascii="Times New Roman" w:eastAsia="Times New Roman" w:hAnsi="Times New Roman" w:cs="Times New Roman"/>
          <w:sz w:val="24"/>
          <w:szCs w:val="24"/>
        </w:rPr>
        <w:t>taxativamente previstas pela Constituição Federal, sendo elas o (i) imposto sobre a renda (art. 153, § 2º, I); (ii) o imposto sobre produtos industrializados (art. 153, § 4º); (iii) o imposto sobre a propriedade predial e territorial urbana (arts. 156, § 1</w:t>
      </w:r>
      <w:r>
        <w:rPr>
          <w:rFonts w:ascii="Times New Roman" w:eastAsia="Times New Roman" w:hAnsi="Times New Roman" w:cs="Times New Roman"/>
          <w:sz w:val="24"/>
          <w:szCs w:val="24"/>
        </w:rPr>
        <w:t xml:space="preserve">º e 182, § 4º, II); e as (iv) contribuições sociais do empregador, da empresa e da entidade a ela equiparada (art. 195, § 9º). Vejamos excerto da ementa do julgado proferido nos autos da já mencionada ADI 2010/DF: </w:t>
      </w:r>
    </w:p>
    <w:p w:rsidR="00E767FA" w:rsidRDefault="002D6CE4">
      <w:pPr>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SERVIDORES PÚBLICOS FEDERAIS - CONTRIBUIÇ</w:t>
      </w:r>
      <w:r>
        <w:rPr>
          <w:rFonts w:ascii="Times New Roman" w:eastAsia="Times New Roman" w:hAnsi="Times New Roman" w:cs="Times New Roman"/>
          <w:sz w:val="24"/>
          <w:szCs w:val="24"/>
        </w:rPr>
        <w:t xml:space="preserve">ÃO DE SEGURIDADE SOCIAL - LEI Nº 9.783/99 - ARGÜIÇÃO DE INCONSTITUCIONALIDADE FORMAL E MATERIAL DESSE DIPLOMA LEGISLATIVO (...) ALÍQUOTAS PROGRESSIVAS - ESCALA DE PROGRESSIVIDADE DOS ADICIONAIS TEMPORÁRIOS (ART. 2º DA LEI Nº 9.783/99) - ALEGAÇÃO DE OFENSA </w:t>
      </w:r>
      <w:r>
        <w:rPr>
          <w:rFonts w:ascii="Times New Roman" w:eastAsia="Times New Roman" w:hAnsi="Times New Roman" w:cs="Times New Roman"/>
          <w:sz w:val="24"/>
          <w:szCs w:val="24"/>
        </w:rPr>
        <w:t>AO PRINCÍPIO QUE VEDA A TRIBUTAÇÃO CONFISCATÓRIA (CF, ART. 150, IV) E DE DESCARACTERIZAÇÃO DA FUNÇÃO CONSTITUCIONAL INERENTE À CONTRIBUIÇÃO DE SEGURIDADE SOCIAL - PLAUSIBILIDADE JURÍDICA - (...) CONTRIBUIÇÃO DE SEGURIDADE SOCIAL - SERVIDORES EM ATIVIDADE -</w:t>
      </w:r>
      <w:r>
        <w:rPr>
          <w:rFonts w:ascii="Times New Roman" w:eastAsia="Times New Roman" w:hAnsi="Times New Roman" w:cs="Times New Roman"/>
          <w:sz w:val="24"/>
          <w:szCs w:val="24"/>
        </w:rPr>
        <w:t xml:space="preserve"> ESTRUTURA PROGRESSIVA DAS ALÍQUOTAS: A PROGRESSIVIDADE EM MATÉRIA TRIBUTÁRIA SUPÕE EXPRESSA </w:t>
      </w:r>
      <w:r>
        <w:rPr>
          <w:rFonts w:ascii="Times New Roman" w:eastAsia="Times New Roman" w:hAnsi="Times New Roman" w:cs="Times New Roman"/>
          <w:sz w:val="24"/>
          <w:szCs w:val="24"/>
        </w:rPr>
        <w:lastRenderedPageBreak/>
        <w:t xml:space="preserve">AUTORIZAÇÃO CONSTITUCIONAL. RELEVO JURÍDICO DA TESE. </w:t>
      </w:r>
      <w:r>
        <w:rPr>
          <w:rFonts w:ascii="Times New Roman" w:eastAsia="Times New Roman" w:hAnsi="Times New Roman" w:cs="Times New Roman"/>
          <w:b/>
          <w:sz w:val="24"/>
          <w:szCs w:val="24"/>
          <w:u w:val="single"/>
        </w:rPr>
        <w:t>- Relevo jurídico da tese segundo a qual o legislador comum, fora das hipóteses taxativamente indicadas no tex</w:t>
      </w:r>
      <w:r>
        <w:rPr>
          <w:rFonts w:ascii="Times New Roman" w:eastAsia="Times New Roman" w:hAnsi="Times New Roman" w:cs="Times New Roman"/>
          <w:b/>
          <w:sz w:val="24"/>
          <w:szCs w:val="24"/>
          <w:u w:val="single"/>
        </w:rPr>
        <w:t>to da Carta Política, não pode valer-se da progressividade na definição das alíquotas pertinentes à contribuição de seguridade social devida por servidores públicos em atividade. Tratando-se de matéria sujeita a estrita previsão constitucional - CF, art. 1</w:t>
      </w:r>
      <w:r>
        <w:rPr>
          <w:rFonts w:ascii="Times New Roman" w:eastAsia="Times New Roman" w:hAnsi="Times New Roman" w:cs="Times New Roman"/>
          <w:b/>
          <w:sz w:val="24"/>
          <w:szCs w:val="24"/>
          <w:u w:val="single"/>
        </w:rPr>
        <w:t>53, § 2º, I; art. 153, § 4º; art. 156, § 1º; art. 182, § 4º, II; art. 195, § 9º (contribuição social devida pelo empregador) - inexiste espaço de liberdade decisória para o Congresso Nacional, em tema de progressividade tributária, instituir alíquotas prog</w:t>
      </w:r>
      <w:r>
        <w:rPr>
          <w:rFonts w:ascii="Times New Roman" w:eastAsia="Times New Roman" w:hAnsi="Times New Roman" w:cs="Times New Roman"/>
          <w:b/>
          <w:sz w:val="24"/>
          <w:szCs w:val="24"/>
          <w:u w:val="single"/>
        </w:rPr>
        <w:t>ressivas em situações não autorizadas pelo texto da Constituição. Inaplicabilidade, aos servidores estatais, da norma inscrita no art. 195, § 9º, da Constituição, introduzida pela EC nº 20/98. (...)</w:t>
      </w:r>
      <w:r>
        <w:rPr>
          <w:rFonts w:ascii="Times New Roman" w:eastAsia="Times New Roman" w:hAnsi="Times New Roman" w:cs="Times New Roman"/>
          <w:sz w:val="24"/>
          <w:szCs w:val="24"/>
        </w:rPr>
        <w:t xml:space="preserve"> (ADI 2010 MC, Relator(a):  Min. CELSO DE MELLO, Tribunal </w:t>
      </w:r>
      <w:r>
        <w:rPr>
          <w:rFonts w:ascii="Times New Roman" w:eastAsia="Times New Roman" w:hAnsi="Times New Roman" w:cs="Times New Roman"/>
          <w:sz w:val="24"/>
          <w:szCs w:val="24"/>
        </w:rPr>
        <w:t>Pleno, julgado em 30/09/1999, DJ 12-04-2002 PP-00051 EMENT VOL-02064-01 PP-00086 - grifamos)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por mais essa razão, devem ser declaradas inconstituicionais as alterações anterioemente elencadas provocadas pela Emenda Constitucional nº 103/2019,</w:t>
      </w:r>
      <w:r>
        <w:rPr>
          <w:rFonts w:ascii="Times New Roman" w:eastAsia="Times New Roman" w:hAnsi="Times New Roman" w:cs="Times New Roman"/>
          <w:sz w:val="24"/>
          <w:szCs w:val="24"/>
        </w:rPr>
        <w:t xml:space="preserve"> sob o risco de violação de dispositivos constitucionais da proteção à capacidade contributivo e vedação ao confisco, que visam a garantia de que contribuinte não seja compelido a arcar com carga tributária onerosa ao ponto de impossibilitá-lo de realizar </w:t>
      </w:r>
      <w:r>
        <w:rPr>
          <w:rFonts w:ascii="Times New Roman" w:eastAsia="Times New Roman" w:hAnsi="Times New Roman" w:cs="Times New Roman"/>
          <w:sz w:val="24"/>
          <w:szCs w:val="24"/>
        </w:rPr>
        <w:t>suas atividades habituais e sua subsistência, conforme entendimento sedimentado no âmbito do E. Supremo Tribunal Federal.</w:t>
      </w: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rPr>
        <w:t>DA INEXISTÊNCIA DE ESTUDO ATUARIAL PARA A MAJORAÇÃO DAS CONTRIBUIÇÕES PREVIDENCIÁRIAS VERTIDAS AO RPPS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Ademais é de se constatar que a</w:t>
      </w:r>
      <w:r>
        <w:rPr>
          <w:rFonts w:ascii="Times New Roman" w:eastAsia="Times New Roman" w:hAnsi="Times New Roman" w:cs="Times New Roman"/>
          <w:sz w:val="24"/>
          <w:szCs w:val="24"/>
          <w:highlight w:val="white"/>
        </w:rPr>
        <w:t>s alterações impostas pela EC 103/2019 impõem aos servidores públicos federais situação de verdadeira insegurança jurídica ao prever o aumento da base de cálculo relacionada aos servidores inativos e pensionistas para equacionamento de suposto déficit, a i</w:t>
      </w:r>
      <w:r>
        <w:rPr>
          <w:rFonts w:ascii="Times New Roman" w:eastAsia="Times New Roman" w:hAnsi="Times New Roman" w:cs="Times New Roman"/>
          <w:sz w:val="24"/>
          <w:szCs w:val="24"/>
          <w:highlight w:val="white"/>
        </w:rPr>
        <w:t>nstituição de contribuição previdenciária extraordinária, também com esta finalidade, bem como majoração execessiva de suas contribuições regulares em razão da instituição de alíquotas progressivas.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Neste sentido, é importante destacar que os arts. 40 e 20</w:t>
      </w:r>
      <w:r>
        <w:rPr>
          <w:rFonts w:ascii="Times New Roman" w:eastAsia="Times New Roman" w:hAnsi="Times New Roman" w:cs="Times New Roman"/>
          <w:sz w:val="24"/>
          <w:szCs w:val="24"/>
          <w:highlight w:val="white"/>
        </w:rPr>
        <w:t xml:space="preserve">1 da Constituição Federal prescreve que a gerência do Regime Próprio de Previdência Social deve observar parâmetros que o possibilite estar em constante equilíbrio financeiro e atuarial, o que também é </w:t>
      </w:r>
      <w:r>
        <w:rPr>
          <w:rFonts w:ascii="Times New Roman" w:eastAsia="Times New Roman" w:hAnsi="Times New Roman" w:cs="Times New Roman"/>
          <w:sz w:val="24"/>
          <w:szCs w:val="24"/>
          <w:highlight w:val="white"/>
        </w:rPr>
        <w:lastRenderedPageBreak/>
        <w:t>plenamente aplicável ao RGPS, por possibilitar a conce</w:t>
      </w:r>
      <w:r>
        <w:rPr>
          <w:rFonts w:ascii="Times New Roman" w:eastAsia="Times New Roman" w:hAnsi="Times New Roman" w:cs="Times New Roman"/>
          <w:sz w:val="24"/>
          <w:szCs w:val="24"/>
          <w:highlight w:val="white"/>
        </w:rPr>
        <w:t>ssão de benefícios aos seus segurados de modo a respeitar a continuidade do regime de previdência como direito social constitucional ao longo do tempo.</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Portanto,  para que haja a efetiva majoração de contribuição previdenciária, ou aumento de sua base de c</w:t>
      </w:r>
      <w:r>
        <w:rPr>
          <w:rFonts w:ascii="Times New Roman" w:eastAsia="Times New Roman" w:hAnsi="Times New Roman" w:cs="Times New Roman"/>
          <w:sz w:val="24"/>
          <w:szCs w:val="24"/>
          <w:highlight w:val="white"/>
        </w:rPr>
        <w:t>álculo, como estratégias para equacionar suposto “rombo da previdência”, é necessário que o Poder Público demonstre cabalmente a existência de déficit atuarial. É dizer: não basta mera alegação de deficiência na Previdência, o déficit deverá ser efetivamen</w:t>
      </w:r>
      <w:r>
        <w:rPr>
          <w:rFonts w:ascii="Times New Roman" w:eastAsia="Times New Roman" w:hAnsi="Times New Roman" w:cs="Times New Roman"/>
          <w:sz w:val="24"/>
          <w:szCs w:val="24"/>
          <w:highlight w:val="white"/>
        </w:rPr>
        <w:t>te comprovado por meio de metodologia idônea que comporte efetivamente todas as variáveis que concorrem para o equilíbrio atuarial do sistema previdenciário.</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 efeito, o equilíbrio atuarial está ligado a critérios que ultrapassam o mero cálculo aritmétic</w:t>
      </w:r>
      <w:r>
        <w:rPr>
          <w:rFonts w:ascii="Times New Roman" w:eastAsia="Times New Roman" w:hAnsi="Times New Roman" w:cs="Times New Roman"/>
          <w:sz w:val="24"/>
          <w:szCs w:val="24"/>
          <w:highlight w:val="white"/>
        </w:rPr>
        <w:t>o das receitas e despesas do sistema previdenciário, devendo levar em conta aspectos relacionados com previsão do crescimento real das remunerações, expectativa de vida, estimativa da taxa de inflação futura, taxa de juros futuros.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Contudo, quanto ao ponto, a exposição de motivos da Proposta de Emenda à Constituição 06/2019</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que originou a Reforma da Previdência, é silente quanto aos critérios necessários para se mensurar a existência de possível déficit atuarial, limitando-se apena</w:t>
      </w:r>
      <w:r>
        <w:rPr>
          <w:rFonts w:ascii="Times New Roman" w:eastAsia="Times New Roman" w:hAnsi="Times New Roman" w:cs="Times New Roman"/>
          <w:sz w:val="24"/>
          <w:szCs w:val="24"/>
          <w:highlight w:val="white"/>
        </w:rPr>
        <w:t>s a defender a sua existência em montante capaz de asfixiar o RPPS ao longo dos anos, objetivando mascarar a suposta necessidade de aumento da carga tributária suportada pelos servidores. Vejamos excerto de seu texto:</w:t>
      </w:r>
    </w:p>
    <w:p w:rsidR="00E767FA" w:rsidRDefault="002D6CE4">
      <w:pPr>
        <w:spacing w:after="0" w:line="240" w:lineRule="auto"/>
        <w:ind w:left="226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Perspectiva de insustentabilidade no f</w:t>
      </w:r>
      <w:r>
        <w:rPr>
          <w:rFonts w:ascii="Times New Roman" w:eastAsia="Times New Roman" w:hAnsi="Times New Roman" w:cs="Times New Roman"/>
          <w:sz w:val="24"/>
          <w:szCs w:val="24"/>
          <w:highlight w:val="white"/>
        </w:rPr>
        <w:t>uturo dos RPPS. As dificuldades em relação a sustentabilidade financeira e atuarial nos RPPS é preocupante. O deficit atuarial do RPPS da União em 2017 era de R$ 1,2 trilhão. Os Estados, Distrito Federal e parte dos Municípios também possuem deficit atuari</w:t>
      </w:r>
      <w:r>
        <w:rPr>
          <w:rFonts w:ascii="Times New Roman" w:eastAsia="Times New Roman" w:hAnsi="Times New Roman" w:cs="Times New Roman"/>
          <w:sz w:val="24"/>
          <w:szCs w:val="24"/>
          <w:highlight w:val="white"/>
        </w:rPr>
        <w:t>al em montante expressivo, que no seu conjunto ultrapassa o deficit da União. Ainda que haja elevada heterogeneidade em relação à situação financeira dos mais de 2.130 RPPS existentes, com diversos municípios tendo seu regime totalmente capitalizado e equi</w:t>
      </w:r>
      <w:r>
        <w:rPr>
          <w:rFonts w:ascii="Times New Roman" w:eastAsia="Times New Roman" w:hAnsi="Times New Roman" w:cs="Times New Roman"/>
          <w:sz w:val="24"/>
          <w:szCs w:val="24"/>
          <w:highlight w:val="white"/>
        </w:rPr>
        <w:t>librado, destaca-se o total do deficit dos RPPS dos Estados e da União, que respondem por mais de 70% do deficit atuarial total.</w:t>
      </w:r>
    </w:p>
    <w:p w:rsidR="00E767FA" w:rsidRDefault="002D6CE4">
      <w:pPr>
        <w:spacing w:after="0" w:line="240" w:lineRule="auto"/>
        <w:ind w:left="226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767FA" w:rsidRDefault="002D6CE4">
      <w:pPr>
        <w:spacing w:after="0" w:line="240" w:lineRule="auto"/>
        <w:ind w:left="226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Desequilíbrios nas finanças dos entes federados. A expansão mais acelerada dos gastos previdenciários da União, dos Estad</w:t>
      </w:r>
      <w:r>
        <w:rPr>
          <w:rFonts w:ascii="Times New Roman" w:eastAsia="Times New Roman" w:hAnsi="Times New Roman" w:cs="Times New Roman"/>
          <w:sz w:val="24"/>
          <w:szCs w:val="24"/>
          <w:highlight w:val="white"/>
        </w:rPr>
        <w:t xml:space="preserve">os, do Distrito </w:t>
      </w:r>
      <w:r>
        <w:rPr>
          <w:rFonts w:ascii="Times New Roman" w:eastAsia="Times New Roman" w:hAnsi="Times New Roman" w:cs="Times New Roman"/>
          <w:sz w:val="24"/>
          <w:szCs w:val="24"/>
          <w:highlight w:val="white"/>
        </w:rPr>
        <w:lastRenderedPageBreak/>
        <w:t>Federal e dos Municípios verificada nos últimos anos, bem superior ao crescimento registrado para as receitas do sistema no mesmo período, tem sido importante causa da rápida deterioração fiscal experimentada pelos entes federativos. Tal re</w:t>
      </w:r>
      <w:r>
        <w:rPr>
          <w:rFonts w:ascii="Times New Roman" w:eastAsia="Times New Roman" w:hAnsi="Times New Roman" w:cs="Times New Roman"/>
          <w:sz w:val="24"/>
          <w:szCs w:val="24"/>
          <w:highlight w:val="white"/>
        </w:rPr>
        <w:t>lação é hoje indiscutível e evidencia-se tanto em avaliações produzidas pelos próprios governos na gestão da máquina pública, como em estudos e levantameritos realizados por entidades independentes, que igualmente a apontam, fato que torna não apenas urgen</w:t>
      </w:r>
      <w:r>
        <w:rPr>
          <w:rFonts w:ascii="Times New Roman" w:eastAsia="Times New Roman" w:hAnsi="Times New Roman" w:cs="Times New Roman"/>
          <w:sz w:val="24"/>
          <w:szCs w:val="24"/>
          <w:highlight w:val="white"/>
        </w:rPr>
        <w:t>te, mas fundamental o encaminhamento da solução do desequilíbrio nas contas da previdência social.</w:t>
      </w:r>
    </w:p>
    <w:p w:rsidR="00E767FA" w:rsidRDefault="00E767FA">
      <w:pPr>
        <w:spacing w:before="120" w:after="120" w:line="360" w:lineRule="auto"/>
        <w:ind w:firstLine="1418"/>
        <w:jc w:val="both"/>
        <w:rPr>
          <w:rFonts w:ascii="Times New Roman" w:eastAsia="Times New Roman" w:hAnsi="Times New Roman" w:cs="Times New Roman"/>
          <w:sz w:val="24"/>
          <w:szCs w:val="24"/>
          <w:highlight w:val="white"/>
        </w:rPr>
      </w:pP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servidores públicos não podem ser afetados pela majoração de sua contribuição previdenciária, bem como ser compelidos a arcar com alíquota extraordinária</w:t>
      </w:r>
      <w:r>
        <w:rPr>
          <w:rFonts w:ascii="Times New Roman" w:eastAsia="Times New Roman" w:hAnsi="Times New Roman" w:cs="Times New Roman"/>
          <w:sz w:val="24"/>
          <w:szCs w:val="24"/>
          <w:highlight w:val="white"/>
        </w:rPr>
        <w:t xml:space="preserve"> em prol de suposto equacionamento de déficit atuarial, sem que este seja efetivamente comprovado pela União, por meio do regular estudo e balanço atuariais, que são análogos a cálculos aritméticos simples, como se pretendeu demonstrar na PEC 06/2019. </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w:t>
      </w:r>
      <w:r>
        <w:rPr>
          <w:rFonts w:ascii="Times New Roman" w:eastAsia="Times New Roman" w:hAnsi="Times New Roman" w:cs="Times New Roman"/>
          <w:sz w:val="24"/>
          <w:szCs w:val="24"/>
          <w:highlight w:val="white"/>
        </w:rPr>
        <w:t>tanto, não é razoável que o constituinte derivado se utilize de expressões e frases de efeito para ilustrar o suposto déficit, ou mesmo se ampare em</w:t>
      </w:r>
      <w:r>
        <w:rPr>
          <w:rFonts w:ascii="Times New Roman" w:eastAsia="Times New Roman" w:hAnsi="Times New Roman" w:cs="Times New Roman"/>
          <w:i/>
          <w:sz w:val="24"/>
          <w:szCs w:val="24"/>
          <w:highlight w:val="white"/>
        </w:rPr>
        <w:t xml:space="preserve"> levantamentos realizados por entidades independentes</w:t>
      </w:r>
      <w:r>
        <w:rPr>
          <w:rFonts w:ascii="Times New Roman" w:eastAsia="Times New Roman" w:hAnsi="Times New Roman" w:cs="Times New Roman"/>
          <w:sz w:val="24"/>
          <w:szCs w:val="24"/>
          <w:highlight w:val="white"/>
        </w:rPr>
        <w:t xml:space="preserve">, sem que haja qualquer referência a estas entidades de modo a atribuir certa confiabilidade ao necessário estudo atuarial.  </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Como se vê, são absolutamente ilegítimas as alterações promovidas pela EC 103/19, impostas aos servidores públicos federais ativos</w:t>
      </w:r>
      <w:r>
        <w:rPr>
          <w:rFonts w:ascii="Times New Roman" w:eastAsia="Times New Roman" w:hAnsi="Times New Roman" w:cs="Times New Roman"/>
          <w:sz w:val="24"/>
          <w:szCs w:val="24"/>
          <w:highlight w:val="white"/>
        </w:rPr>
        <w:t xml:space="preserve"> e inativos sob o discurso vazio e muitas vezes repetido de que haveria suposto déficit no Regime Próprio de Previdência Social da União, sem a devida comprovação desses dados.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Ademais, verifica-se do cálculo em questão que são incluídas na conta do supost</w:t>
      </w:r>
      <w:r>
        <w:rPr>
          <w:rFonts w:ascii="Times New Roman" w:eastAsia="Times New Roman" w:hAnsi="Times New Roman" w:cs="Times New Roman"/>
          <w:sz w:val="24"/>
          <w:szCs w:val="24"/>
          <w:highlight w:val="white"/>
        </w:rPr>
        <w:t>o “rombo” as receitas e despesas referentes tanto ao regime geral quanto aos regimes próprios dos servidores civis e militares da União. Ocorre que, para a instituição das contribuições extraordinárias conferidas pela redação dada pela EC 103/19, exige que</w:t>
      </w:r>
      <w:r>
        <w:rPr>
          <w:rFonts w:ascii="Times New Roman" w:eastAsia="Times New Roman" w:hAnsi="Times New Roman" w:cs="Times New Roman"/>
          <w:sz w:val="24"/>
          <w:szCs w:val="24"/>
          <w:highlight w:val="white"/>
        </w:rPr>
        <w:t xml:space="preserve"> o déficit atuarial seja específico do RPPS, todavia a exposição de motivos da PEC 06/2019, ao buscar ilustrar a existência de déficit atuarial, não faz qualquer distinção atual em relação aos regimes de previdência de servidores públicos estatais.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Portant</w:t>
      </w:r>
      <w:r>
        <w:rPr>
          <w:rFonts w:ascii="Times New Roman" w:eastAsia="Times New Roman" w:hAnsi="Times New Roman" w:cs="Times New Roman"/>
          <w:sz w:val="24"/>
          <w:szCs w:val="24"/>
          <w:highlight w:val="white"/>
        </w:rPr>
        <w:t>o, seria necessário que o constituinte derivado demonstrasse, quando da proposição de emenda constitucional destinada a alteração do Sistema Previdenciário, efetivo déficit atuarial no RPPS da União por meio de metodologia de cálculo idônea, que só poderia</w:t>
      </w:r>
      <w:r>
        <w:rPr>
          <w:rFonts w:ascii="Times New Roman" w:eastAsia="Times New Roman" w:hAnsi="Times New Roman" w:cs="Times New Roman"/>
          <w:sz w:val="24"/>
          <w:szCs w:val="24"/>
          <w:highlight w:val="white"/>
        </w:rPr>
        <w:t xml:space="preserve"> ser alcançada por meio da instituição de uma Unidade Gestora do Regime Próprio de Previdência em que se garanta a participação democrática dos servidores na gestão deste colegiado e que sejam consideradas todas as parcelas que deveriam ter sido vertidas p</w:t>
      </w:r>
      <w:r>
        <w:rPr>
          <w:rFonts w:ascii="Times New Roman" w:eastAsia="Times New Roman" w:hAnsi="Times New Roman" w:cs="Times New Roman"/>
          <w:sz w:val="24"/>
          <w:szCs w:val="24"/>
          <w:highlight w:val="white"/>
        </w:rPr>
        <w:t>ela União para o RPPS.</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ao ponto, é de se ressaltar que a determinação constante do art. 40, § 20 da Constituição, incluído pela EC 41/2003, no sentido de se instituir uma Unidade Gestora Única do Regime Próprio de Previdência Social, foi regulamenta</w:t>
      </w:r>
      <w:r>
        <w:rPr>
          <w:rFonts w:ascii="Times New Roman" w:eastAsia="Times New Roman" w:hAnsi="Times New Roman" w:cs="Times New Roman"/>
          <w:sz w:val="24"/>
          <w:szCs w:val="24"/>
          <w:highlight w:val="white"/>
        </w:rPr>
        <w:t>da por meio da Portaria MPS n° 402, de 12 de dezembro de 2008, in verbis:</w:t>
      </w:r>
    </w:p>
    <w:p w:rsidR="00E767FA" w:rsidRDefault="002D6CE4">
      <w:pPr>
        <w:spacing w:line="240" w:lineRule="auto"/>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Art. 10. É vedada a existência de mais de um RPPS para os servidores titulares de cargos efetivos e de mais de uma unidade gestora do respectivo regime em cada ente federativo.</w:t>
      </w:r>
    </w:p>
    <w:p w:rsidR="00E767FA" w:rsidRDefault="002D6CE4">
      <w:pPr>
        <w:spacing w:line="240" w:lineRule="auto"/>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1º </w:t>
      </w:r>
      <w:r>
        <w:rPr>
          <w:rFonts w:ascii="Times New Roman" w:eastAsia="Times New Roman" w:hAnsi="Times New Roman" w:cs="Times New Roman"/>
          <w:sz w:val="24"/>
          <w:szCs w:val="24"/>
          <w:highlight w:val="white"/>
        </w:rPr>
        <w:t>Entende-se por unidade gestora a entidade ou órgão integrante da estrutura da Administração Pública de cada ente federativo, que tenha por finalidade a administração, o gerenciamento e a operacionalização do RPPS, incluindo a arrecadação e gestão de recurs</w:t>
      </w:r>
      <w:r>
        <w:rPr>
          <w:rFonts w:ascii="Times New Roman" w:eastAsia="Times New Roman" w:hAnsi="Times New Roman" w:cs="Times New Roman"/>
          <w:sz w:val="24"/>
          <w:szCs w:val="24"/>
          <w:highlight w:val="white"/>
        </w:rPr>
        <w:t>os e fundos previdenciários, a concessão, o pagamento e a manutenção dos benefícios.</w:t>
      </w:r>
    </w:p>
    <w:p w:rsidR="00E767FA" w:rsidRDefault="002D6CE4">
      <w:pPr>
        <w:spacing w:line="240" w:lineRule="auto"/>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2º A unidade gestora única deverá gerenciar, direta ou indiretamente, a concessão, o pagamento e a manutenção, no mínimo, dos benefícios de aposentadoria e pensão conced</w:t>
      </w:r>
      <w:r>
        <w:rPr>
          <w:rFonts w:ascii="Times New Roman" w:eastAsia="Times New Roman" w:hAnsi="Times New Roman" w:cs="Times New Roman"/>
          <w:sz w:val="24"/>
          <w:szCs w:val="24"/>
          <w:highlight w:val="white"/>
        </w:rPr>
        <w:t>idos a partir da publicação da Emenda Constitucional nº 41, de 2003, de todos os poderes, órgãos e entidades do ente federativo.</w:t>
      </w:r>
    </w:p>
    <w:p w:rsidR="00E767FA" w:rsidRDefault="002D6CE4">
      <w:pPr>
        <w:spacing w:line="240" w:lineRule="auto"/>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3º A unidade gestora única contará com colegiado ou instância de decisão, no qual será garantida a representação dos segurado</w:t>
      </w:r>
      <w:r>
        <w:rPr>
          <w:rFonts w:ascii="Times New Roman" w:eastAsia="Times New Roman" w:hAnsi="Times New Roman" w:cs="Times New Roman"/>
          <w:sz w:val="24"/>
          <w:szCs w:val="24"/>
          <w:highlight w:val="white"/>
        </w:rPr>
        <w:t>s.</w:t>
      </w:r>
    </w:p>
    <w:p w:rsidR="00E767FA" w:rsidRDefault="00E767FA">
      <w:pPr>
        <w:ind w:left="1701"/>
        <w:jc w:val="both"/>
        <w:rPr>
          <w:rFonts w:ascii="Times New Roman" w:eastAsia="Times New Roman" w:hAnsi="Times New Roman" w:cs="Times New Roman"/>
          <w:sz w:val="24"/>
          <w:szCs w:val="24"/>
          <w:highlight w:val="white"/>
        </w:rPr>
      </w:pP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Esta determinação foi prontamente reproduzida pela EC 103/2019, em seu art. 12, §1º, que determina que a União institua sistema integrado de dados, sem os quais não será possível realizar qualquer espécie de avaliação atuarial. Senão vejamos o disposit</w:t>
      </w:r>
      <w:r>
        <w:rPr>
          <w:rFonts w:ascii="Times New Roman" w:eastAsia="Times New Roman" w:hAnsi="Times New Roman" w:cs="Times New Roman"/>
          <w:sz w:val="24"/>
          <w:szCs w:val="24"/>
          <w:highlight w:val="white"/>
        </w:rPr>
        <w:t>ivo normativo:</w:t>
      </w:r>
    </w:p>
    <w:p w:rsidR="00E767FA" w:rsidRDefault="002D6CE4">
      <w:pPr>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Art. 12. </w:t>
      </w:r>
      <w:r>
        <w:rPr>
          <w:rFonts w:ascii="Times New Roman" w:eastAsia="Times New Roman" w:hAnsi="Times New Roman" w:cs="Times New Roman"/>
          <w:b/>
          <w:sz w:val="24"/>
          <w:szCs w:val="24"/>
          <w:highlight w:val="white"/>
          <w:u w:val="single"/>
        </w:rPr>
        <w:t xml:space="preserve">A União instituirá sistema integrado de dados relativos às remunerações, proventos e pensões dos segurados dos regimes de </w:t>
      </w:r>
      <w:r>
        <w:rPr>
          <w:rFonts w:ascii="Times New Roman" w:eastAsia="Times New Roman" w:hAnsi="Times New Roman" w:cs="Times New Roman"/>
          <w:b/>
          <w:sz w:val="24"/>
          <w:szCs w:val="24"/>
          <w:highlight w:val="white"/>
          <w:u w:val="single"/>
        </w:rPr>
        <w:lastRenderedPageBreak/>
        <w:t>previdência de que tratam os </w:t>
      </w:r>
      <w:hyperlink r:id="rId14" w:anchor="art40.0">
        <w:r>
          <w:rPr>
            <w:rFonts w:ascii="Times New Roman" w:eastAsia="Times New Roman" w:hAnsi="Times New Roman" w:cs="Times New Roman"/>
            <w:b/>
            <w:sz w:val="24"/>
            <w:szCs w:val="24"/>
            <w:highlight w:val="white"/>
            <w:u w:val="single"/>
          </w:rPr>
          <w:t>arts. 40</w:t>
        </w:r>
      </w:hyperlink>
      <w:r>
        <w:rPr>
          <w:rFonts w:ascii="Times New Roman" w:eastAsia="Times New Roman" w:hAnsi="Times New Roman" w:cs="Times New Roman"/>
          <w:b/>
          <w:sz w:val="24"/>
          <w:szCs w:val="24"/>
          <w:highlight w:val="white"/>
          <w:u w:val="single"/>
        </w:rPr>
        <w:t>, </w:t>
      </w:r>
      <w:hyperlink r:id="rId15" w:anchor="art201.0">
        <w:r>
          <w:rPr>
            <w:rFonts w:ascii="Times New Roman" w:eastAsia="Times New Roman" w:hAnsi="Times New Roman" w:cs="Times New Roman"/>
            <w:b/>
            <w:sz w:val="24"/>
            <w:szCs w:val="24"/>
            <w:highlight w:val="white"/>
            <w:u w:val="single"/>
          </w:rPr>
          <w:t>201 </w:t>
        </w:r>
      </w:hyperlink>
      <w:r>
        <w:rPr>
          <w:rFonts w:ascii="Times New Roman" w:eastAsia="Times New Roman" w:hAnsi="Times New Roman" w:cs="Times New Roman"/>
          <w:b/>
          <w:sz w:val="24"/>
          <w:szCs w:val="24"/>
          <w:highlight w:val="white"/>
          <w:u w:val="single"/>
        </w:rPr>
        <w:t>e </w:t>
      </w:r>
      <w:hyperlink r:id="rId16" w:anchor="art202">
        <w:r>
          <w:rPr>
            <w:rFonts w:ascii="Times New Roman" w:eastAsia="Times New Roman" w:hAnsi="Times New Roman" w:cs="Times New Roman"/>
            <w:b/>
            <w:sz w:val="24"/>
            <w:szCs w:val="24"/>
            <w:highlight w:val="white"/>
            <w:u w:val="single"/>
          </w:rPr>
          <w:t>202 da Constituição Fede</w:t>
        </w:r>
        <w:r>
          <w:rPr>
            <w:rFonts w:ascii="Times New Roman" w:eastAsia="Times New Roman" w:hAnsi="Times New Roman" w:cs="Times New Roman"/>
            <w:b/>
            <w:sz w:val="24"/>
            <w:szCs w:val="24"/>
            <w:highlight w:val="white"/>
            <w:u w:val="single"/>
          </w:rPr>
          <w:t>ral</w:t>
        </w:r>
      </w:hyperlink>
      <w:r>
        <w:rPr>
          <w:rFonts w:ascii="Times New Roman" w:eastAsia="Times New Roman" w:hAnsi="Times New Roman" w:cs="Times New Roman"/>
          <w:sz w:val="24"/>
          <w:szCs w:val="24"/>
          <w:highlight w:val="white"/>
        </w:rPr>
        <w:t>, aos benefícios dos programas de assistência social de que trata o </w:t>
      </w:r>
      <w:hyperlink r:id="rId17" w:anchor="art203">
        <w:r>
          <w:rPr>
            <w:rFonts w:ascii="Times New Roman" w:eastAsia="Times New Roman" w:hAnsi="Times New Roman" w:cs="Times New Roman"/>
            <w:sz w:val="24"/>
            <w:szCs w:val="24"/>
            <w:highlight w:val="white"/>
          </w:rPr>
          <w:t>art. 203 da Constituição Federal</w:t>
        </w:r>
      </w:hyperlink>
      <w:r>
        <w:rPr>
          <w:rFonts w:ascii="Times New Roman" w:eastAsia="Times New Roman" w:hAnsi="Times New Roman" w:cs="Times New Roman"/>
          <w:sz w:val="24"/>
          <w:szCs w:val="24"/>
          <w:highlight w:val="white"/>
        </w:rPr>
        <w:t> e às remunerações, proventos de inatividade e pensão p</w:t>
      </w:r>
      <w:r>
        <w:rPr>
          <w:rFonts w:ascii="Times New Roman" w:eastAsia="Times New Roman" w:hAnsi="Times New Roman" w:cs="Times New Roman"/>
          <w:sz w:val="24"/>
          <w:szCs w:val="24"/>
          <w:highlight w:val="white"/>
        </w:rPr>
        <w:t>or morte decorrentes das atividades militares de que tratam os </w:t>
      </w:r>
      <w:hyperlink r:id="rId18" w:anchor="art42">
        <w:r>
          <w:rPr>
            <w:rFonts w:ascii="Times New Roman" w:eastAsia="Times New Roman" w:hAnsi="Times New Roman" w:cs="Times New Roman"/>
            <w:sz w:val="24"/>
            <w:szCs w:val="24"/>
            <w:highlight w:val="white"/>
          </w:rPr>
          <w:t>arts. 42</w:t>
        </w:r>
      </w:hyperlink>
      <w:r>
        <w:rPr>
          <w:rFonts w:ascii="Times New Roman" w:eastAsia="Times New Roman" w:hAnsi="Times New Roman" w:cs="Times New Roman"/>
          <w:sz w:val="24"/>
          <w:szCs w:val="24"/>
          <w:highlight w:val="white"/>
        </w:rPr>
        <w:t> e </w:t>
      </w:r>
      <w:hyperlink r:id="rId19" w:anchor="art142">
        <w:r>
          <w:rPr>
            <w:rFonts w:ascii="Times New Roman" w:eastAsia="Times New Roman" w:hAnsi="Times New Roman" w:cs="Times New Roman"/>
            <w:sz w:val="24"/>
            <w:szCs w:val="24"/>
            <w:highlight w:val="white"/>
          </w:rPr>
          <w:t>142 da Constituição Federal</w:t>
        </w:r>
      </w:hyperlink>
      <w:r>
        <w:rPr>
          <w:rFonts w:ascii="Times New Roman" w:eastAsia="Times New Roman" w:hAnsi="Times New Roman" w:cs="Times New Roman"/>
          <w:sz w:val="24"/>
          <w:szCs w:val="24"/>
          <w:highlight w:val="white"/>
        </w:rPr>
        <w:t>, em interação com outras bases de dados, ferramentas e plataformas, para o fortalecimento de sua gestão, governança e transparência e o cumprimento das disposições estabelecidas nos </w:t>
      </w:r>
      <w:hyperlink r:id="rId20" w:anchor="art37xi.">
        <w:r>
          <w:rPr>
            <w:rFonts w:ascii="Times New Roman" w:eastAsia="Times New Roman" w:hAnsi="Times New Roman" w:cs="Times New Roman"/>
            <w:sz w:val="24"/>
            <w:szCs w:val="24"/>
            <w:highlight w:val="white"/>
          </w:rPr>
          <w:t>incisos XI </w:t>
        </w:r>
      </w:hyperlink>
      <w:r>
        <w:rPr>
          <w:rFonts w:ascii="Times New Roman" w:eastAsia="Times New Roman" w:hAnsi="Times New Roman" w:cs="Times New Roman"/>
          <w:sz w:val="24"/>
          <w:szCs w:val="24"/>
          <w:highlight w:val="white"/>
        </w:rPr>
        <w:t>e </w:t>
      </w:r>
      <w:hyperlink r:id="rId21" w:anchor="art37xvi">
        <w:r>
          <w:rPr>
            <w:rFonts w:ascii="Times New Roman" w:eastAsia="Times New Roman" w:hAnsi="Times New Roman" w:cs="Times New Roman"/>
            <w:sz w:val="24"/>
            <w:szCs w:val="24"/>
            <w:highlight w:val="white"/>
          </w:rPr>
          <w:t>XVI do art. 37 da Constituição Federal.</w:t>
        </w:r>
      </w:hyperlink>
    </w:p>
    <w:p w:rsidR="00E767FA" w:rsidRDefault="002D6CE4">
      <w:pPr>
        <w:ind w:left="1701"/>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 1º A União, os Estados, o Distrito</w:t>
      </w:r>
      <w:r>
        <w:rPr>
          <w:rFonts w:ascii="Times New Roman" w:eastAsia="Times New Roman" w:hAnsi="Times New Roman" w:cs="Times New Roman"/>
          <w:b/>
          <w:sz w:val="24"/>
          <w:szCs w:val="24"/>
          <w:highlight w:val="white"/>
          <w:u w:val="single"/>
        </w:rPr>
        <w:t xml:space="preserve"> Federal e os Municípios e os órgãos e entidades gestoras dos regimes, dos sistemas e dos programas a que se refere o caput disponibilizarão as informações necessárias para a estruturação do sistema integrado de dados e terão acesso ao compartilhamento das</w:t>
      </w:r>
      <w:r>
        <w:rPr>
          <w:rFonts w:ascii="Times New Roman" w:eastAsia="Times New Roman" w:hAnsi="Times New Roman" w:cs="Times New Roman"/>
          <w:b/>
          <w:sz w:val="24"/>
          <w:szCs w:val="24"/>
          <w:highlight w:val="white"/>
          <w:u w:val="single"/>
        </w:rPr>
        <w:t xml:space="preserve"> referidas informações, na forma da legislação. (Grifamos)</w:t>
      </w:r>
    </w:p>
    <w:p w:rsidR="00E767FA" w:rsidRDefault="00E767FA">
      <w:pPr>
        <w:jc w:val="both"/>
        <w:rPr>
          <w:rFonts w:ascii="Times New Roman" w:eastAsia="Times New Roman" w:hAnsi="Times New Roman" w:cs="Times New Roman"/>
          <w:sz w:val="24"/>
          <w:szCs w:val="24"/>
          <w:highlight w:val="white"/>
        </w:rPr>
      </w:pP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Contudo, como demonstrado, a União jamais instituiu sua Unidade Gestora, de forma que jamais foi oportunizada aos servidores públicos federais a efetiva participação na eleição das metodologias de</w:t>
      </w:r>
      <w:r>
        <w:rPr>
          <w:rFonts w:ascii="Times New Roman" w:eastAsia="Times New Roman" w:hAnsi="Times New Roman" w:cs="Times New Roman"/>
          <w:sz w:val="24"/>
          <w:szCs w:val="24"/>
          <w:highlight w:val="white"/>
        </w:rPr>
        <w:t xml:space="preserve"> avaliação atuarial. Tal fato, somado à profunda disparidade nos dados, coloca em cheque a idoneidade dos valores apresentados pela União, eis que permite o tratamento de valores sem acurácia estatística e sem aderência à realidade, tudo a possibilitar que</w:t>
      </w:r>
      <w:r>
        <w:rPr>
          <w:rFonts w:ascii="Times New Roman" w:eastAsia="Times New Roman" w:hAnsi="Times New Roman" w:cs="Times New Roman"/>
          <w:sz w:val="24"/>
          <w:szCs w:val="24"/>
          <w:highlight w:val="white"/>
        </w:rPr>
        <w:t xml:space="preserve"> a União manipule os dados em desfavor dos servidores públicos que assumirão o encargo extraordinário.</w:t>
      </w: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efeitos negativos provocados pela ausência de unidade gestora é constantemente observado pelo Tribunal de Contas da União, que assim manifestou-se no </w:t>
      </w:r>
      <w:r>
        <w:rPr>
          <w:rFonts w:ascii="Times New Roman" w:eastAsia="Times New Roman" w:hAnsi="Times New Roman" w:cs="Times New Roman"/>
          <w:sz w:val="24"/>
          <w:szCs w:val="24"/>
          <w:highlight w:val="white"/>
        </w:rPr>
        <w:t>Acórdão 2059/2012, julgado em sessão plenária. Vejamos:</w:t>
      </w:r>
    </w:p>
    <w:p w:rsidR="00E767FA" w:rsidRDefault="002D6CE4">
      <w:pPr>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Destarte, com a possibilidade de recolhimento incorreto das contribuições do RPPS, há risco de distorções nos valores das receitas previdenciárias que são publicadas no RREO, podendo ocasionar diferen</w:t>
      </w:r>
      <w:r>
        <w:rPr>
          <w:rFonts w:ascii="Times New Roman" w:eastAsia="Times New Roman" w:hAnsi="Times New Roman" w:cs="Times New Roman"/>
          <w:sz w:val="24"/>
          <w:szCs w:val="24"/>
          <w:highlight w:val="white"/>
        </w:rPr>
        <w:t xml:space="preserve">ça nos resultados previdenciários desse regime. </w:t>
      </w:r>
      <w:r>
        <w:rPr>
          <w:rFonts w:ascii="Times New Roman" w:eastAsia="Times New Roman" w:hAnsi="Times New Roman" w:cs="Times New Roman"/>
          <w:b/>
          <w:sz w:val="24"/>
          <w:szCs w:val="24"/>
          <w:highlight w:val="white"/>
          <w:u w:val="single"/>
        </w:rPr>
        <w:t>Essa fragilidade decorre em parte da inexistência de unidade gestora única do regime de previdência no âmbito da União, prevista no § 20 da CF/88, incluído pela EC nº 41/2003, a qual precisa ser regulamentada (ver item 2.3). A ausência de um órgão gestor ú</w:t>
      </w:r>
      <w:r>
        <w:rPr>
          <w:rFonts w:ascii="Times New Roman" w:eastAsia="Times New Roman" w:hAnsi="Times New Roman" w:cs="Times New Roman"/>
          <w:b/>
          <w:sz w:val="24"/>
          <w:szCs w:val="24"/>
          <w:highlight w:val="white"/>
          <w:u w:val="single"/>
        </w:rPr>
        <w:t xml:space="preserve">nico faz com que os recolhimentos sejam realizados no âmbito de cada um dos órgãos que possuem sistema próprio de pagamento de pessoal, como ocorre nos diversos tribunais. Esse processamento </w:t>
      </w:r>
      <w:r>
        <w:rPr>
          <w:rFonts w:ascii="Times New Roman" w:eastAsia="Times New Roman" w:hAnsi="Times New Roman" w:cs="Times New Roman"/>
          <w:b/>
          <w:sz w:val="24"/>
          <w:szCs w:val="24"/>
          <w:highlight w:val="white"/>
          <w:u w:val="single"/>
        </w:rPr>
        <w:lastRenderedPageBreak/>
        <w:t>descentralizado aumenta a possibilidade de erros e dificulta a fi</w:t>
      </w:r>
      <w:r>
        <w:rPr>
          <w:rFonts w:ascii="Times New Roman" w:eastAsia="Times New Roman" w:hAnsi="Times New Roman" w:cs="Times New Roman"/>
          <w:b/>
          <w:sz w:val="24"/>
          <w:szCs w:val="24"/>
          <w:highlight w:val="white"/>
          <w:u w:val="single"/>
        </w:rPr>
        <w:t>scalização dos recolhimentos. Por isso, cabe ressaltar, novamente, a importância de ser regulamentado</w:t>
      </w:r>
      <w:r>
        <w:rPr>
          <w:rFonts w:ascii="Times New Roman" w:eastAsia="Times New Roman" w:hAnsi="Times New Roman" w:cs="Times New Roman"/>
          <w:sz w:val="24"/>
          <w:szCs w:val="24"/>
          <w:highlight w:val="white"/>
        </w:rPr>
        <w:t xml:space="preserve"> o dispositivo constitucional que prevê a criação da unidade gestora única, nos termos da proposta de encaminhamento incluída no item 2.3 deste relatório. </w:t>
      </w:r>
    </w:p>
    <w:p w:rsidR="00E767FA" w:rsidRDefault="002D6CE4">
      <w:pPr>
        <w:ind w:left="170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(TCU. Acórdão 2059/2012 - Plenário. Relatório de Auditória. Min. Rel. José Mucio Monteiro. Data da sessão 08/08/2012. – grifamos)</w:t>
      </w:r>
    </w:p>
    <w:p w:rsidR="00E767FA" w:rsidRDefault="00E767FA">
      <w:pPr>
        <w:ind w:left="1701"/>
        <w:jc w:val="both"/>
        <w:rPr>
          <w:rFonts w:ascii="Times New Roman" w:eastAsia="Times New Roman" w:hAnsi="Times New Roman" w:cs="Times New Roman"/>
          <w:sz w:val="24"/>
          <w:szCs w:val="24"/>
          <w:highlight w:val="white"/>
        </w:rPr>
      </w:pPr>
    </w:p>
    <w:p w:rsidR="00E767FA" w:rsidRDefault="002D6CE4">
      <w:pPr>
        <w:spacing w:before="120" w:after="120" w:line="360" w:lineRule="auto"/>
        <w:ind w:firstLine="14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Desse modo, conclui-se que a ausência de Unidade Gestora provoca severos prejuízos aos servidores e à própria sustentabilidade do RPPS, o que, além de impedir a participação dos trabalhadores em órgãos colegiados de deliberação, vai de encontro ao princípi</w:t>
      </w:r>
      <w:r>
        <w:rPr>
          <w:rFonts w:ascii="Times New Roman" w:eastAsia="Times New Roman" w:hAnsi="Times New Roman" w:cs="Times New Roman"/>
          <w:sz w:val="24"/>
          <w:szCs w:val="24"/>
          <w:highlight w:val="white"/>
        </w:rPr>
        <w:t>o da transparência. Deve ser afastada, em relação aos filiados da Entidade Autora, a aplicação das alterações, enterioemente elencadas, conferidas pela EC 103/2019 enquanto não comprovada, por metodologia idônea, eventual déficit do sistema por órgão/unida</w:t>
      </w:r>
      <w:r>
        <w:rPr>
          <w:rFonts w:ascii="Times New Roman" w:eastAsia="Times New Roman" w:hAnsi="Times New Roman" w:cs="Times New Roman"/>
          <w:sz w:val="24"/>
          <w:szCs w:val="24"/>
          <w:highlight w:val="white"/>
        </w:rPr>
        <w:t>de gestora do Regime Próprio de Servidores Civis da União.</w:t>
      </w:r>
    </w:p>
    <w:p w:rsidR="00E767FA" w:rsidRDefault="00E767FA">
      <w:pPr>
        <w:spacing w:before="120" w:after="120" w:line="360" w:lineRule="auto"/>
        <w:ind w:firstLine="1418"/>
        <w:jc w:val="both"/>
        <w:rPr>
          <w:rFonts w:ascii="Times New Roman" w:eastAsia="Times New Roman" w:hAnsi="Times New Roman" w:cs="Times New Roman"/>
          <w:sz w:val="24"/>
          <w:szCs w:val="24"/>
          <w:highlight w:val="white"/>
        </w:rPr>
      </w:pPr>
    </w:p>
    <w:p w:rsidR="00E767FA" w:rsidRDefault="00E767FA">
      <w:pPr>
        <w:spacing w:before="120" w:after="120" w:line="360" w:lineRule="auto"/>
        <w:ind w:firstLine="1418"/>
        <w:jc w:val="both"/>
        <w:rPr>
          <w:rFonts w:ascii="Times New Roman" w:eastAsia="Times New Roman" w:hAnsi="Times New Roman" w:cs="Times New Roman"/>
          <w:sz w:val="24"/>
          <w:szCs w:val="24"/>
          <w:highlight w:val="white"/>
        </w:rPr>
      </w:pP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u w:val="single"/>
        </w:rPr>
        <w:t>DA NECESSÁRIA CONCESSÃO DA TUTELA PROVISÓRIA DE URGÊNCIA ENQUANTO PERDURAR O ESTADO DE EMRGÊNCIA PROVOCADO PELA PANDEMIA DO NOVO CORONAVÍRUS (COVID-19)</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Inicialmente, nos termos do art. 300 do Cód</w:t>
      </w:r>
      <w:r>
        <w:rPr>
          <w:rFonts w:ascii="Times New Roman" w:eastAsia="Times New Roman" w:hAnsi="Times New Roman" w:cs="Times New Roman"/>
          <w:color w:val="000000"/>
          <w:sz w:val="24"/>
          <w:szCs w:val="24"/>
        </w:rPr>
        <w:t>igo de Processo Civil em vigor, “a tutela de urgência será concedida quando houver elementos que evidenciem a probabilidade do direito e o perigo de dano ou o risco”. Ademais, de acordo com a dicção § 3º do mesmo dispositivo, “a tutela de urgência de natur</w:t>
      </w:r>
      <w:r>
        <w:rPr>
          <w:rFonts w:ascii="Times New Roman" w:eastAsia="Times New Roman" w:hAnsi="Times New Roman" w:cs="Times New Roman"/>
          <w:color w:val="000000"/>
          <w:sz w:val="24"/>
          <w:szCs w:val="24"/>
        </w:rPr>
        <w:t xml:space="preserve">eza antecipada não será concedida quando houver perigo de irreversibilidade dos efeitos” da decisão. </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Destarte, verifica-se são três os requisitos autorizadores da concessão da tutela de urgência, a saber: (i) a probabilidade do direito; (ii) perigo de dan</w:t>
      </w:r>
      <w:r>
        <w:rPr>
          <w:rFonts w:ascii="Times New Roman" w:eastAsia="Times New Roman" w:hAnsi="Times New Roman" w:cs="Times New Roman"/>
          <w:color w:val="000000"/>
          <w:sz w:val="24"/>
          <w:szCs w:val="24"/>
        </w:rPr>
        <w:t>o (</w:t>
      </w:r>
      <w:r>
        <w:rPr>
          <w:rFonts w:ascii="Times New Roman" w:eastAsia="Times New Roman" w:hAnsi="Times New Roman" w:cs="Times New Roman"/>
          <w:i/>
          <w:color w:val="000000"/>
          <w:sz w:val="24"/>
          <w:szCs w:val="24"/>
        </w:rPr>
        <w:t>periculum in mora)</w:t>
      </w:r>
      <w:r>
        <w:rPr>
          <w:rFonts w:ascii="Times New Roman" w:eastAsia="Times New Roman" w:hAnsi="Times New Roman" w:cs="Times New Roman"/>
          <w:color w:val="000000"/>
          <w:sz w:val="24"/>
          <w:szCs w:val="24"/>
        </w:rPr>
        <w:t xml:space="preserve">; e (iii) a reversibilidade do provimento antecipatório.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 probabilidade do direito é evidente, conforme todo o exposto. A instituição de alíquotas progressivas e a fixação de percentual mínimo no patamar de 14% pela Emenda Constituc</w:t>
      </w:r>
      <w:r>
        <w:rPr>
          <w:rFonts w:ascii="Times New Roman" w:eastAsia="Times New Roman" w:hAnsi="Times New Roman" w:cs="Times New Roman"/>
          <w:sz w:val="24"/>
          <w:szCs w:val="24"/>
        </w:rPr>
        <w:t>ional 103/2019 afrontam diretamente os princípios da solidariedade, da referibilidade e da isonomia (arts. 40, caput, 150, II, e 195, caput e §5º, da Constituição Federal), assim como ferem de morte os princípios da vedação à instituição de tributo como fo</w:t>
      </w:r>
      <w:r>
        <w:rPr>
          <w:rFonts w:ascii="Times New Roman" w:eastAsia="Times New Roman" w:hAnsi="Times New Roman" w:cs="Times New Roman"/>
          <w:sz w:val="24"/>
          <w:szCs w:val="24"/>
        </w:rPr>
        <w:t xml:space="preserve">rma de confisco e da capacidade contributiva (arts. 145, § 1º, e 150, IV da Constituição).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Para mais, a jurisprudência pátria sobre o tema, aqui demonstrada pelo entendimento do E. STF, que se mostrou favorável ao pleito em caso análogo é favorável à pretensão ora defendida em razão do reconhecimento da inconstitucionalidade das alíquotas progre</w:t>
      </w:r>
      <w:r>
        <w:rPr>
          <w:rFonts w:ascii="Times New Roman" w:eastAsia="Times New Roman" w:hAnsi="Times New Roman" w:cs="Times New Roman"/>
          <w:sz w:val="24"/>
          <w:szCs w:val="24"/>
        </w:rPr>
        <w:t xml:space="preserve">ssivas em relação à contribuição previdênciária.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Quanto ao perigo de dano, é importante destacar que, segundo o disposto na EC 103/2019, as alíquotas progressivas de contribuição previdenciária, versadas pelo seu art. 11,  já estão em vigor, conforme se </w:t>
      </w:r>
      <w:r>
        <w:rPr>
          <w:rFonts w:ascii="Times New Roman" w:eastAsia="Times New Roman" w:hAnsi="Times New Roman" w:cs="Times New Roman"/>
          <w:sz w:val="24"/>
          <w:szCs w:val="24"/>
        </w:rPr>
        <w:t xml:space="preserve">extrai do art. 36, inciso I, do diploma que prevê o início de sua exigibilidade para o “quarto mês subsequente ao da data de publicação” da emenda, isto é, 1º de março de 2020. Vejamos o texto legal: </w:t>
      </w:r>
    </w:p>
    <w:p w:rsidR="00E767FA" w:rsidRDefault="002D6CE4">
      <w:pPr>
        <w:spacing w:before="60" w:after="0"/>
        <w:ind w:left="2268"/>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 36. Esta Emenda Constitucional entra em vigor:</w:t>
      </w:r>
    </w:p>
    <w:p w:rsidR="00E767FA" w:rsidRDefault="002D6CE4">
      <w:pPr>
        <w:spacing w:before="60" w:after="0"/>
        <w:ind w:left="2268"/>
        <w:rPr>
          <w:rFonts w:ascii="Times New Roman" w:eastAsia="Times New Roman" w:hAnsi="Times New Roman" w:cs="Times New Roman"/>
          <w:b/>
          <w:sz w:val="24"/>
          <w:szCs w:val="24"/>
          <w:u w:val="single"/>
        </w:rPr>
      </w:pPr>
      <w:bookmarkStart w:id="1" w:name="gjdgxs" w:colFirst="0" w:colLast="0"/>
      <w:bookmarkEnd w:id="1"/>
      <w:r>
        <w:rPr>
          <w:rFonts w:ascii="Times New Roman" w:eastAsia="Times New Roman" w:hAnsi="Times New Roman" w:cs="Times New Roman"/>
          <w:b/>
          <w:sz w:val="24"/>
          <w:szCs w:val="24"/>
          <w:u w:val="single"/>
        </w:rPr>
        <w:t>I - no primeiro dia do quarto mês subsequente ao da data de publicação desta Emenda Constitucional, quanto ao disposto nos </w:t>
      </w:r>
      <w:hyperlink r:id="rId22" w:anchor="art11">
        <w:r>
          <w:rPr>
            <w:rFonts w:ascii="Times New Roman" w:eastAsia="Times New Roman" w:hAnsi="Times New Roman" w:cs="Times New Roman"/>
            <w:b/>
            <w:sz w:val="24"/>
            <w:szCs w:val="24"/>
            <w:u w:val="single"/>
          </w:rPr>
          <w:t>arts. 11</w:t>
        </w:r>
      </w:hyperlink>
      <w:r>
        <w:rPr>
          <w:rFonts w:ascii="Times New Roman" w:eastAsia="Times New Roman" w:hAnsi="Times New Roman" w:cs="Times New Roman"/>
          <w:b/>
          <w:sz w:val="24"/>
          <w:szCs w:val="24"/>
          <w:u w:val="single"/>
        </w:rPr>
        <w:t>, </w:t>
      </w:r>
      <w:hyperlink r:id="rId23" w:anchor="art28">
        <w:r>
          <w:rPr>
            <w:rFonts w:ascii="Times New Roman" w:eastAsia="Times New Roman" w:hAnsi="Times New Roman" w:cs="Times New Roman"/>
            <w:b/>
            <w:sz w:val="24"/>
            <w:szCs w:val="24"/>
            <w:u w:val="single"/>
          </w:rPr>
          <w:t>28</w:t>
        </w:r>
      </w:hyperlink>
      <w:r>
        <w:rPr>
          <w:rFonts w:ascii="Times New Roman" w:eastAsia="Times New Roman" w:hAnsi="Times New Roman" w:cs="Times New Roman"/>
          <w:b/>
          <w:sz w:val="24"/>
          <w:szCs w:val="24"/>
          <w:u w:val="single"/>
        </w:rPr>
        <w:t> e </w:t>
      </w:r>
      <w:hyperlink r:id="rId24" w:anchor="art32">
        <w:r>
          <w:rPr>
            <w:rFonts w:ascii="Times New Roman" w:eastAsia="Times New Roman" w:hAnsi="Times New Roman" w:cs="Times New Roman"/>
            <w:b/>
            <w:sz w:val="24"/>
            <w:szCs w:val="24"/>
            <w:u w:val="single"/>
          </w:rPr>
          <w:t>32</w:t>
        </w:r>
      </w:hyperlink>
      <w:r>
        <w:rPr>
          <w:rFonts w:ascii="Times New Roman" w:eastAsia="Times New Roman" w:hAnsi="Times New Roman" w:cs="Times New Roman"/>
          <w:b/>
          <w:sz w:val="24"/>
          <w:szCs w:val="24"/>
          <w:u w:val="single"/>
        </w:rPr>
        <w:t xml:space="preserve">;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Noutro giro, é importante destacar que atualmente se vive</w:t>
      </w:r>
      <w:r>
        <w:rPr>
          <w:rFonts w:ascii="Times New Roman" w:eastAsia="Times New Roman" w:hAnsi="Times New Roman" w:cs="Times New Roman"/>
          <w:sz w:val="24"/>
          <w:szCs w:val="24"/>
        </w:rPr>
        <w:t>ncia em contexto mundial a pandemia provocada pelo novo coronavírus (COVID-19), que tem provocado graves consequências aos cidadãos brasileiros. Atualmente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contabiliza-se cerca de mais de mil e duzentas mortes provocadas pelo vírus  no país, quantitativo </w:t>
      </w:r>
      <w:r>
        <w:rPr>
          <w:rFonts w:ascii="Times New Roman" w:eastAsia="Times New Roman" w:hAnsi="Times New Roman" w:cs="Times New Roman"/>
          <w:sz w:val="24"/>
          <w:szCs w:val="24"/>
        </w:rPr>
        <w:t>este que cresceu exponencialmente desde a última semana, sem previsões para a sua estabilização até o final de  junho, segundo pronunciamento oficial do atual Ministro da Saúde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Não por outro motivo, o Governo Federal, por meio da Lei nº 13.979, de 06 de</w:t>
      </w:r>
      <w:r>
        <w:rPr>
          <w:rFonts w:ascii="Times New Roman" w:eastAsia="Times New Roman" w:hAnsi="Times New Roman" w:cs="Times New Roman"/>
          <w:sz w:val="24"/>
          <w:szCs w:val="24"/>
        </w:rPr>
        <w:t xml:space="preserve"> fevereiro de 2020, já decretou estado de emergência no âmbito da saúde pública, sendo que nesta ocasião foram editados atos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no âmbito da Administração Pública Federal objetivando implementar medidas de prevenção e proteção em face do crescente quantitati</w:t>
      </w:r>
      <w:r>
        <w:rPr>
          <w:rFonts w:ascii="Times New Roman" w:eastAsia="Times New Roman" w:hAnsi="Times New Roman" w:cs="Times New Roman"/>
          <w:sz w:val="24"/>
          <w:szCs w:val="24"/>
        </w:rPr>
        <w:t xml:space="preserve">vo de diagnósticos e óbitos, em razão da evidente possibilidade de que o sistema de saúde pública entre em colapso no fim do mês de abril.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Diante deste cenário, não é compatível com o paradigma constitucional vigente que os rendimentos dos servidores púb</w:t>
      </w:r>
      <w:r>
        <w:rPr>
          <w:rFonts w:ascii="Times New Roman" w:eastAsia="Times New Roman" w:hAnsi="Times New Roman" w:cs="Times New Roman"/>
          <w:sz w:val="24"/>
          <w:szCs w:val="24"/>
        </w:rPr>
        <w:t xml:space="preserve">licos sejam prontamente reduzidos em razão de alíquotas de contribuição previdenciária de evidente caráter confiscatório meio à pandemia do COVID-19.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Portanto, é necessário que o Poder Judiciário afaste a sua incidência, em relação aos filiados da Entida</w:t>
      </w:r>
      <w:r>
        <w:rPr>
          <w:rFonts w:ascii="Times New Roman" w:eastAsia="Times New Roman" w:hAnsi="Times New Roman" w:cs="Times New Roman"/>
          <w:sz w:val="24"/>
          <w:szCs w:val="24"/>
        </w:rPr>
        <w:t>de Autora, enquanto perdurar o estado de emergência global decretado pela Organização Mundial da Saúde – OMS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que deve ser considerado como marco importante em razão da confiabilidade que a organização confere aos seus posicionamentos enquanto autoridade </w:t>
      </w:r>
      <w:r>
        <w:rPr>
          <w:rFonts w:ascii="Times New Roman" w:eastAsia="Times New Roman" w:hAnsi="Times New Roman" w:cs="Times New Roman"/>
          <w:sz w:val="24"/>
          <w:szCs w:val="24"/>
        </w:rPr>
        <w:t xml:space="preserve">internacional de saúde que consolida diariamente inúmeros dados sobre o avanço do COVID-19 ao redor do globo.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Cumpre ressaltar que, conforme o referido pronunciamento do atual  Ministro da Saúde, há grandes chances que o sistema de saúde pública entre em</w:t>
      </w:r>
      <w:r>
        <w:rPr>
          <w:rFonts w:ascii="Times New Roman" w:eastAsia="Times New Roman" w:hAnsi="Times New Roman" w:cs="Times New Roman"/>
          <w:sz w:val="24"/>
          <w:szCs w:val="24"/>
        </w:rPr>
        <w:t xml:space="preserve"> colapso até o fim de abril, o que compelirá os servidores públicos substituídos a não só aumentarem consideravelmente os gastos habituais com saúde, uma vez que poderão arcar com gastos relacionados ao tratamento e prevenção de moléstias causadas pelo nov</w:t>
      </w:r>
      <w:r>
        <w:rPr>
          <w:rFonts w:ascii="Times New Roman" w:eastAsia="Times New Roman" w:hAnsi="Times New Roman" w:cs="Times New Roman"/>
          <w:sz w:val="24"/>
          <w:szCs w:val="24"/>
        </w:rPr>
        <w:t>o coronavírus, e com demais gastos relacionados ao estado de quarentena decretado por inúmeros governadores de estado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Portanto, é medida que se impõe a concessão do pedido diferido de tutela provisória de urgência, </w:t>
      </w:r>
      <w:r>
        <w:rPr>
          <w:rFonts w:ascii="Times New Roman" w:eastAsia="Times New Roman" w:hAnsi="Times New Roman" w:cs="Times New Roman"/>
          <w:i/>
          <w:color w:val="000000"/>
          <w:sz w:val="24"/>
          <w:szCs w:val="24"/>
        </w:rPr>
        <w:t>inaudita altera parte</w:t>
      </w:r>
      <w:r>
        <w:rPr>
          <w:rFonts w:ascii="Times New Roman" w:eastAsia="Times New Roman" w:hAnsi="Times New Roman" w:cs="Times New Roman"/>
          <w:color w:val="000000"/>
          <w:sz w:val="24"/>
          <w:szCs w:val="24"/>
        </w:rPr>
        <w:t xml:space="preserve">, vez que foram devidamente demonstrados os requisitos autorizadores e a urgência no pleito, que é agravada pela pandemia mundial </w:t>
      </w:r>
      <w:r>
        <w:rPr>
          <w:rFonts w:ascii="Times New Roman" w:eastAsia="Times New Roman" w:hAnsi="Times New Roman" w:cs="Times New Roman"/>
          <w:color w:val="000000"/>
          <w:sz w:val="24"/>
          <w:szCs w:val="24"/>
        </w:rPr>
        <w:lastRenderedPageBreak/>
        <w:t>provocada pelo novo coronavírus. Veja-se, a propósito, o seguinte julgado do Col. Superior Tribunal de Justiça no tocante à de</w:t>
      </w:r>
      <w:r>
        <w:rPr>
          <w:rFonts w:ascii="Times New Roman" w:eastAsia="Times New Roman" w:hAnsi="Times New Roman" w:cs="Times New Roman"/>
          <w:color w:val="000000"/>
          <w:sz w:val="24"/>
          <w:szCs w:val="24"/>
        </w:rPr>
        <w:t xml:space="preserve"> concessão da tutela provisória </w:t>
      </w:r>
      <w:r>
        <w:rPr>
          <w:rFonts w:ascii="Times New Roman" w:eastAsia="Times New Roman" w:hAnsi="Times New Roman" w:cs="Times New Roman"/>
          <w:i/>
          <w:color w:val="000000"/>
          <w:sz w:val="24"/>
          <w:szCs w:val="24"/>
        </w:rPr>
        <w:t>inaudita altera parte</w:t>
      </w:r>
      <w:r>
        <w:rPr>
          <w:rFonts w:ascii="Times New Roman" w:eastAsia="Times New Roman" w:hAnsi="Times New Roman" w:cs="Times New Roman"/>
          <w:color w:val="000000"/>
          <w:sz w:val="24"/>
          <w:szCs w:val="24"/>
        </w:rPr>
        <w:t>:</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PROCESSO CIVIL E TRIBUTÁRIO. RECURSO ESPECIAL. ARTIGO 105, INCISO III, ALÍNEAS "A" E "C" , DA CONSTITUIÇÃO DA REPÚBLICA. LIMINAR CONCEDIDA. INAUDITA ALTERA PARTE. ART. 151, V, DO CTN. IUS SUPERVENIENS.</w:t>
      </w:r>
      <w:r>
        <w:rPr>
          <w:rFonts w:ascii="Times New Roman" w:eastAsia="Times New Roman" w:hAnsi="Times New Roman" w:cs="Times New Roman"/>
          <w:i/>
          <w:color w:val="000000"/>
          <w:sz w:val="24"/>
          <w:szCs w:val="24"/>
        </w:rPr>
        <w:t xml:space="preserve"> INEXIGIBILIDADE DO DEPÓSITO INTEGRAL DO CRÉDITO TRIBUTÁRIO. AUSÊNCIA DE PREQUESTIONAMENTO ACERCA DA INCLUSÃO DE CORREÇÃO MONETÁRIA E JUROS NO VALOR INTEGRAL. DIVERGÊNCIA JURISPRUDENCIAL SUPERADA.</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No caso excepcional dos autos, </w:t>
      </w:r>
      <w:r>
        <w:rPr>
          <w:rFonts w:ascii="Times New Roman" w:eastAsia="Times New Roman" w:hAnsi="Times New Roman" w:cs="Times New Roman"/>
          <w:b/>
          <w:i/>
          <w:color w:val="000000"/>
          <w:sz w:val="24"/>
          <w:szCs w:val="24"/>
        </w:rPr>
        <w:t>mostra-se cabível o deferime</w:t>
      </w:r>
      <w:r>
        <w:rPr>
          <w:rFonts w:ascii="Times New Roman" w:eastAsia="Times New Roman" w:hAnsi="Times New Roman" w:cs="Times New Roman"/>
          <w:b/>
          <w:i/>
          <w:color w:val="000000"/>
          <w:sz w:val="24"/>
          <w:szCs w:val="24"/>
        </w:rPr>
        <w:t>nto da liminar pelo magistrado, sem a audiência das partes, porquanto "justifica-se a concessão de medida liminar 'inaudita altera parte', ainda quando ausente a possibilidade de o promovido frustrar a sua eficácia, desde que a demora de sua concessão poss</w:t>
      </w:r>
      <w:r>
        <w:rPr>
          <w:rFonts w:ascii="Times New Roman" w:eastAsia="Times New Roman" w:hAnsi="Times New Roman" w:cs="Times New Roman"/>
          <w:b/>
          <w:i/>
          <w:color w:val="000000"/>
          <w:sz w:val="24"/>
          <w:szCs w:val="24"/>
        </w:rPr>
        <w:t>a importar em prejuízo, mesmo que parcial, para o promovente</w:t>
      </w:r>
      <w:r>
        <w:rPr>
          <w:rFonts w:ascii="Times New Roman" w:eastAsia="Times New Roman" w:hAnsi="Times New Roman" w:cs="Times New Roman"/>
          <w:i/>
          <w:color w:val="000000"/>
          <w:sz w:val="24"/>
          <w:szCs w:val="24"/>
        </w:rPr>
        <w:t>" (ROMS 335/CE, Rel. Min. Cesar Asfor Rocha, RSTJ 47/517).</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Ausência de prequestionamento da questão de que o depósito do montante integral do crédito tributário, ao qual alude o inciso II d</w:t>
      </w:r>
      <w:r>
        <w:rPr>
          <w:rFonts w:ascii="Times New Roman" w:eastAsia="Times New Roman" w:hAnsi="Times New Roman" w:cs="Times New Roman"/>
          <w:i/>
          <w:color w:val="000000"/>
          <w:sz w:val="24"/>
          <w:szCs w:val="24"/>
        </w:rPr>
        <w:t>o artigo 151 do Código Tributário Nacional, deve compreender juros e correção monetária.</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Divergência jurisprudencial superada.</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Recurso especial não conhecido.</w:t>
      </w:r>
    </w:p>
    <w:p w:rsidR="00E767FA" w:rsidRDefault="002D6CE4">
      <w:pPr>
        <w:pBdr>
          <w:top w:val="nil"/>
          <w:left w:val="nil"/>
          <w:bottom w:val="nil"/>
          <w:right w:val="nil"/>
          <w:between w:val="nil"/>
        </w:pBdr>
        <w:spacing w:line="240" w:lineRule="auto"/>
        <w:ind w:left="1701" w:hanging="283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(REsp 153.633/SP, Rel. Ministro FRANCIULLI NETTO, SEGUNDA TURMA, julgado em 26/03/2002, DJ 01/07/2002, p. 272) (Grifamos)</w:t>
      </w:r>
    </w:p>
    <w:p w:rsidR="00E767FA" w:rsidRDefault="00E767FA">
      <w:pPr>
        <w:spacing w:before="120" w:after="120" w:line="360" w:lineRule="auto"/>
        <w:ind w:firstLine="141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Ademais, é necessário destacar que em situação análoga, processo nº 5012245-85.2020.4.02.5101, o Excelentíssimo Juízo da 11ª Vara Fe</w:t>
      </w:r>
      <w:r>
        <w:rPr>
          <w:rFonts w:ascii="Times New Roman" w:eastAsia="Times New Roman" w:hAnsi="Times New Roman" w:cs="Times New Roman"/>
          <w:sz w:val="24"/>
          <w:szCs w:val="24"/>
        </w:rPr>
        <w:t>deral do Rio de Janeiro, ao reconhecer na decisão anexa a verossimilhanças das alegações e dos demais requisitos autorizadores para a concessão do pleito antecipatório, deu provimento ao pedido de tutela provisória de urgência, de modo a reconhecer a incon</w:t>
      </w:r>
      <w:r>
        <w:rPr>
          <w:rFonts w:ascii="Times New Roman" w:eastAsia="Times New Roman" w:hAnsi="Times New Roman" w:cs="Times New Roman"/>
          <w:sz w:val="24"/>
          <w:szCs w:val="24"/>
        </w:rPr>
        <w:t>stitucionalidade das alíquotas progressivas ora impugnadas.  Senão vejamos o teor da referida decisão interlocutória:</w:t>
      </w:r>
    </w:p>
    <w:p w:rsidR="00E767FA" w:rsidRDefault="002D6CE4">
      <w:pPr>
        <w:spacing w:before="120" w:after="120" w:line="36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Assim, é de se concluir que, para a eficaz implantação do novo regramento previsto, notadamente o disposto nos parágrafos 1º-A e 1º-</w:t>
      </w:r>
      <w:r>
        <w:rPr>
          <w:rFonts w:ascii="Times New Roman" w:eastAsia="Times New Roman" w:hAnsi="Times New Roman" w:cs="Times New Roman"/>
          <w:b/>
          <w:sz w:val="24"/>
          <w:szCs w:val="24"/>
          <w:u w:val="single"/>
        </w:rPr>
        <w:t xml:space="preserve">B do art. 149 da CF/88, faz-se necessário a existência de órgão/unidade de gestão do Regime Próprio de Servidores da União, principalmente diante </w:t>
      </w:r>
      <w:r>
        <w:rPr>
          <w:rFonts w:ascii="Times New Roman" w:eastAsia="Times New Roman" w:hAnsi="Times New Roman" w:cs="Times New Roman"/>
          <w:b/>
          <w:sz w:val="24"/>
          <w:szCs w:val="24"/>
          <w:u w:val="single"/>
        </w:rPr>
        <w:lastRenderedPageBreak/>
        <w:t>da necessidade do correto processamento de dados para a real avaliação atuarial.</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Doutro giro, a jurisprudência do Supremo Tribunal Federal firmou-se no sentido de que a tributação confiscatória é vedada pela Constituição Federal de 1988. Entendeu o STF, por unanimidade de votos, no julgamento da Medida Cautelar na ADI 2.010-2/DF, Relat</w:t>
      </w:r>
      <w:r>
        <w:rPr>
          <w:rFonts w:ascii="Times New Roman" w:eastAsia="Times New Roman" w:hAnsi="Times New Roman" w:cs="Times New Roman"/>
          <w:sz w:val="24"/>
          <w:szCs w:val="24"/>
        </w:rPr>
        <w:t>or Ministro CELSO DE MELLO, que o caráter confiscatório de determinado tributo resta demonstrado “</w:t>
      </w:r>
      <w:r>
        <w:rPr>
          <w:rFonts w:ascii="Times New Roman" w:eastAsia="Times New Roman" w:hAnsi="Times New Roman" w:cs="Times New Roman"/>
          <w:b/>
          <w:sz w:val="24"/>
          <w:szCs w:val="24"/>
          <w:u w:val="single"/>
        </w:rPr>
        <w:t>sempre que o efeito cumulativo - resultante das múltiplas incidências tributárias estabelecidas pela mesma entidade estatal - afetar, substancialmente, de man</w:t>
      </w:r>
      <w:r>
        <w:rPr>
          <w:rFonts w:ascii="Times New Roman" w:eastAsia="Times New Roman" w:hAnsi="Times New Roman" w:cs="Times New Roman"/>
          <w:b/>
          <w:sz w:val="24"/>
          <w:szCs w:val="24"/>
          <w:u w:val="single"/>
        </w:rPr>
        <w:t>eira irrazoável, o patrimônio e/ou os rendimentos do contribuinte.” e, ainda, que “o Poder Público, especialmente em sede de tributação (as contribuições de seguridade social revestem-se de caráter tributário), não pode agir imoderadamente, pois a atividad</w:t>
      </w:r>
      <w:r>
        <w:rPr>
          <w:rFonts w:ascii="Times New Roman" w:eastAsia="Times New Roman" w:hAnsi="Times New Roman" w:cs="Times New Roman"/>
          <w:b/>
          <w:sz w:val="24"/>
          <w:szCs w:val="24"/>
          <w:u w:val="single"/>
        </w:rPr>
        <w:t>e estatal acha-se essencialmente condicionada pelo princípio da razoabilidade</w:t>
      </w:r>
      <w:r>
        <w:rPr>
          <w:rFonts w:ascii="Times New Roman" w:eastAsia="Times New Roman" w:hAnsi="Times New Roman" w:cs="Times New Roman"/>
          <w:sz w:val="24"/>
          <w:szCs w:val="24"/>
        </w:rPr>
        <w:t>.”.</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fatos, por si só, já são suficientes a demonstrar a plausibilidade do direito invocado pelo demandante. </w:t>
      </w:r>
      <w:r>
        <w:rPr>
          <w:rFonts w:ascii="Times New Roman" w:eastAsia="Times New Roman" w:hAnsi="Times New Roman" w:cs="Times New Roman"/>
          <w:b/>
          <w:sz w:val="24"/>
          <w:szCs w:val="24"/>
          <w:u w:val="single"/>
        </w:rPr>
        <w:t>Entendo, ainda, que o periculum in mora se encontra configur</w:t>
      </w:r>
      <w:r>
        <w:rPr>
          <w:rFonts w:ascii="Times New Roman" w:eastAsia="Times New Roman" w:hAnsi="Times New Roman" w:cs="Times New Roman"/>
          <w:b/>
          <w:sz w:val="24"/>
          <w:szCs w:val="24"/>
          <w:u w:val="single"/>
        </w:rPr>
        <w:t xml:space="preserve">ado, em virtude da possibilidade de cobrança imediata das aludidas contribuições, sem a devida demonstração de deficit atuarial. </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o exposto, </w:t>
      </w:r>
      <w:r>
        <w:rPr>
          <w:rFonts w:ascii="Times New Roman" w:eastAsia="Times New Roman" w:hAnsi="Times New Roman" w:cs="Times New Roman"/>
          <w:b/>
          <w:sz w:val="24"/>
          <w:szCs w:val="24"/>
          <w:u w:val="single"/>
        </w:rPr>
        <w:t>DEFIRO A TUTELA PROVISÓRIA DE URGÊNCIA</w:t>
      </w:r>
      <w:r>
        <w:rPr>
          <w:rFonts w:ascii="Times New Roman" w:eastAsia="Times New Roman" w:hAnsi="Times New Roman" w:cs="Times New Roman"/>
          <w:sz w:val="24"/>
          <w:szCs w:val="24"/>
        </w:rPr>
        <w:t xml:space="preserve"> requerida para determinar a suspensão dos efeitos dos parágrafos 1º, 1º</w:t>
      </w:r>
      <w:r>
        <w:rPr>
          <w:rFonts w:ascii="Times New Roman" w:eastAsia="Times New Roman" w:hAnsi="Times New Roman" w:cs="Times New Roman"/>
          <w:sz w:val="24"/>
          <w:szCs w:val="24"/>
        </w:rPr>
        <w:t>-A, 1º-B e 1º-C do artigo 149 da CF/88, na redação dada pelo artigo 1º da Emenda Constitucional nº 103/2019, parágrafos 4º e 5º do artigo 9º e caput, parágrafos 1º, 2º, 3º e 4º do artigo 11, todos da mesma norma, e que a União se abstenha de implementar, e</w:t>
      </w:r>
      <w:r>
        <w:rPr>
          <w:rFonts w:ascii="Times New Roman" w:eastAsia="Times New Roman" w:hAnsi="Times New Roman" w:cs="Times New Roman"/>
          <w:sz w:val="24"/>
          <w:szCs w:val="24"/>
        </w:rPr>
        <w:t>m favor dos substituídos, a progressividade das alíquotas de contribuição previdenciária, bem como a instituição da contribuição previdenciária extraordinária, até ulterior decisão deste juízo. (grifamos)</w:t>
      </w:r>
    </w:p>
    <w:p w:rsidR="00E767FA" w:rsidRDefault="00E767FA">
      <w:pPr>
        <w:spacing w:before="120" w:after="120" w:line="360" w:lineRule="auto"/>
        <w:ind w:left="2268"/>
        <w:jc w:val="both"/>
        <w:rPr>
          <w:rFonts w:ascii="Times New Roman" w:eastAsia="Times New Roman" w:hAnsi="Times New Roman" w:cs="Times New Roman"/>
          <w:sz w:val="24"/>
          <w:szCs w:val="24"/>
        </w:rPr>
      </w:pP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Neste sentido, também decidiu o Excelentíssimo Ju</w:t>
      </w:r>
      <w:r>
        <w:rPr>
          <w:rFonts w:ascii="Times New Roman" w:eastAsia="Times New Roman" w:hAnsi="Times New Roman" w:cs="Times New Roman"/>
          <w:sz w:val="24"/>
          <w:szCs w:val="24"/>
        </w:rPr>
        <w:t>ízo da 4ª Vara Federal do Rio de Janeiro que, nos autos da ação coletiva nº 5019305-12.2020.4.02.5101,</w:t>
      </w:r>
      <w:r>
        <w:t xml:space="preserve"> </w:t>
      </w:r>
      <w:r>
        <w:rPr>
          <w:rFonts w:ascii="Times New Roman" w:eastAsia="Times New Roman" w:hAnsi="Times New Roman" w:cs="Times New Roman"/>
          <w:sz w:val="24"/>
          <w:szCs w:val="24"/>
        </w:rPr>
        <w:t xml:space="preserve"> deu provimento ao pedido de tutela provisória de urgência para declarar a inconstitucionalidade incidental dos dispositivos da EC 103/2019, ora impugnad</w:t>
      </w:r>
      <w:r>
        <w:rPr>
          <w:rFonts w:ascii="Times New Roman" w:eastAsia="Times New Roman" w:hAnsi="Times New Roman" w:cs="Times New Roman"/>
          <w:sz w:val="24"/>
          <w:szCs w:val="24"/>
        </w:rPr>
        <w:t xml:space="preserve">os. </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decisão liminar, que também segue anexa, fundamentou-se no caráter confiscatório das medidas, uma vez considerada a carga tributária global suportada pelos contribuintes brasileiros, na inconstitucionalidade da instituição de alíquotas progressivas</w:t>
      </w:r>
      <w:r>
        <w:rPr>
          <w:rFonts w:ascii="Times New Roman" w:eastAsia="Times New Roman" w:hAnsi="Times New Roman" w:cs="Times New Roman"/>
          <w:sz w:val="24"/>
          <w:szCs w:val="24"/>
        </w:rPr>
        <w:t xml:space="preserve"> em hipótese não prevista na Constituição Federal. Senão vejamos excerto da decisão:</w:t>
      </w:r>
    </w:p>
    <w:p w:rsidR="00E767FA" w:rsidRDefault="002D6CE4">
      <w:pPr>
        <w:spacing w:before="120" w:after="120" w:line="36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Conforme destaca LEANDRO PAULSEN, "O Supremo Tribunal Federal, em 1999, quando do julgamento da ADI 2.010, entendeu que o aumento da contribuição previdenciária do servido</w:t>
      </w:r>
      <w:r>
        <w:rPr>
          <w:rFonts w:ascii="Times New Roman" w:eastAsia="Times New Roman" w:hAnsi="Times New Roman" w:cs="Times New Roman"/>
          <w:b/>
          <w:sz w:val="24"/>
          <w:szCs w:val="24"/>
          <w:u w:val="single"/>
        </w:rPr>
        <w:t>r público para patamares que poderiam chegar a 25%, associado à incidência do imposto sobre a renda de 27,5%, implicava confisco, razão pela qual suspendeu a majoração da contribuição. Este precedente é extremamente importante porque sinalizou que a verifi</w:t>
      </w:r>
      <w:r>
        <w:rPr>
          <w:rFonts w:ascii="Times New Roman" w:eastAsia="Times New Roman" w:hAnsi="Times New Roman" w:cs="Times New Roman"/>
          <w:b/>
          <w:sz w:val="24"/>
          <w:szCs w:val="24"/>
          <w:u w:val="single"/>
        </w:rPr>
        <w:t>cação do caráter confiscatório de um novo tributo ou majoração se faz em face da carga tributária total a que resta submetido o contribuinte, e não em face da onerosidade de cada tributo isoladamente considerado." (In: Curso de Direito Tributário, 6ª ed. P</w:t>
      </w:r>
      <w:r>
        <w:rPr>
          <w:rFonts w:ascii="Times New Roman" w:eastAsia="Times New Roman" w:hAnsi="Times New Roman" w:cs="Times New Roman"/>
          <w:b/>
          <w:sz w:val="24"/>
          <w:szCs w:val="24"/>
          <w:u w:val="single"/>
        </w:rPr>
        <w:t>orto Alegre: Livraria do Advogado, 2014, p. 106).</w:t>
      </w:r>
    </w:p>
    <w:p w:rsidR="00E767FA" w:rsidRDefault="002D6CE4">
      <w:pPr>
        <w:spacing w:before="120" w:after="120" w:line="36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Tenho, em juízo perfunctório, </w:t>
      </w:r>
      <w:r>
        <w:rPr>
          <w:rFonts w:ascii="Times New Roman" w:eastAsia="Times New Roman" w:hAnsi="Times New Roman" w:cs="Times New Roman"/>
          <w:b/>
          <w:sz w:val="24"/>
          <w:szCs w:val="24"/>
          <w:u w:val="single"/>
        </w:rPr>
        <w:t>que a disposição trazida pelo art. 11 da Emenda Constitucional n. 103/2019 destoa como medida desprovida de razoabilidade. Ressalte-se que, das oito faixas estabelecidas pelo d</w:t>
      </w:r>
      <w:r>
        <w:rPr>
          <w:rFonts w:ascii="Times New Roman" w:eastAsia="Times New Roman" w:hAnsi="Times New Roman" w:cs="Times New Roman"/>
          <w:b/>
          <w:sz w:val="24"/>
          <w:szCs w:val="24"/>
          <w:u w:val="single"/>
        </w:rPr>
        <w:t>ispositivo legal, cinco são atingidas efetivamente pela majoração da carga tributária de contribuição previdenciária, sem considerar, ainda, que o servidor público suportará o encargo do imposto de renda.</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constatação compromete, em determinadas hipóte</w:t>
      </w:r>
      <w:r>
        <w:rPr>
          <w:rFonts w:ascii="Times New Roman" w:eastAsia="Times New Roman" w:hAnsi="Times New Roman" w:cs="Times New Roman"/>
          <w:sz w:val="24"/>
          <w:szCs w:val="24"/>
        </w:rPr>
        <w:t xml:space="preserve">ses, os rendimentos do servidor público que pode sofrer descontos, em folha, de quase 40% do valor </w:t>
      </w:r>
      <w:r>
        <w:rPr>
          <w:rFonts w:ascii="Times New Roman" w:eastAsia="Times New Roman" w:hAnsi="Times New Roman" w:cs="Times New Roman"/>
          <w:sz w:val="24"/>
          <w:szCs w:val="24"/>
        </w:rPr>
        <w:lastRenderedPageBreak/>
        <w:t>de sua remuneração (alíquotas brutas - 22% de PSS e 27,5% de IRPF), sem contar a tributação indireta. Frise-se que o cenário não se altera substancialmente e</w:t>
      </w:r>
      <w:r>
        <w:rPr>
          <w:rFonts w:ascii="Times New Roman" w:eastAsia="Times New Roman" w:hAnsi="Times New Roman" w:cs="Times New Roman"/>
          <w:sz w:val="24"/>
          <w:szCs w:val="24"/>
        </w:rPr>
        <w:t xml:space="preserve">m outras faixas, uma vez que quem aufere renda acima de R$ 4.664,68 é também onerado pelo IRPF já no percentual bruto de 27,5%. </w:t>
      </w:r>
    </w:p>
    <w:p w:rsidR="00E767FA" w:rsidRDefault="002D6CE4">
      <w:pPr>
        <w:spacing w:before="120" w:after="120" w:line="360" w:lineRule="auto"/>
        <w:ind w:left="170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Registre-se, ademais, que, em decisão proferida em dezembro de 2017, nos autos da ADI 5.809-MC/DF, o Min. Ricardo Lewandowski d</w:t>
      </w:r>
      <w:r>
        <w:rPr>
          <w:rFonts w:ascii="Times New Roman" w:eastAsia="Times New Roman" w:hAnsi="Times New Roman" w:cs="Times New Roman"/>
          <w:b/>
          <w:sz w:val="24"/>
          <w:szCs w:val="24"/>
          <w:u w:val="single"/>
        </w:rPr>
        <w:t xml:space="preserve">eferiu liminar para suspender dispositivo da Medida Provisória n. 805/2017 que elevava a contribuição previdenciária para 14% (quatorze por cento), dentre outros fundamentos, por considerar confiscatória a tributação. </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merece ser suspensa liminar</w:t>
      </w:r>
      <w:r>
        <w:rPr>
          <w:rFonts w:ascii="Times New Roman" w:eastAsia="Times New Roman" w:hAnsi="Times New Roman" w:cs="Times New Roman"/>
          <w:sz w:val="24"/>
          <w:szCs w:val="24"/>
        </w:rPr>
        <w:t>mente a eficácia do art. 11, caput e §§ 1º a 4º, da Emenda Constitucional n. 103/2019, ante seu aparente caráter confiscatório.</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outro lado, exsurge a matéria atinente ao equacionamento do sistema previdenciário dos servidores públicos por meio de contribuição previdenciária extraordinária, em caso de déficit atuarial. O tema encontra-se disposto no art. 9º, § 5º, da Emenda Cons</w:t>
      </w:r>
      <w:r>
        <w:rPr>
          <w:rFonts w:ascii="Times New Roman" w:eastAsia="Times New Roman" w:hAnsi="Times New Roman" w:cs="Times New Roman"/>
          <w:sz w:val="24"/>
          <w:szCs w:val="24"/>
        </w:rPr>
        <w:t>titucional n. 103/2019 e art. 149, §§ 1º-A a 1º-C, da Constituição Federal. Para a eficaz implantação do novo regramento previsto, notadamente o disposto no art. 9º, § 5º da Emenda Constitucional n. 103/2019 e art. 149, §§ 1º-A a 1º-C, da Constituição Fede</w:t>
      </w:r>
      <w:r>
        <w:rPr>
          <w:rFonts w:ascii="Times New Roman" w:eastAsia="Times New Roman" w:hAnsi="Times New Roman" w:cs="Times New Roman"/>
          <w:sz w:val="24"/>
          <w:szCs w:val="24"/>
        </w:rPr>
        <w:t xml:space="preserve">ral, faz-se necessária a observância do §22, incisos IV, VI e VII, do art. 40 da CRFB, introduzido pela própria emenda. </w:t>
      </w:r>
    </w:p>
    <w:p w:rsidR="00E767FA" w:rsidRDefault="002D6CE4">
      <w:pPr>
        <w:spacing w:before="120" w:after="12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o exposto, [...] </w:t>
      </w:r>
      <w:r>
        <w:rPr>
          <w:rFonts w:ascii="Times New Roman" w:eastAsia="Times New Roman" w:hAnsi="Times New Roman" w:cs="Times New Roman"/>
          <w:b/>
          <w:sz w:val="24"/>
          <w:szCs w:val="24"/>
          <w:u w:val="single"/>
        </w:rPr>
        <w:t>DEFIRO A TUTELA PROVISÓRIA DE URGÊNCIA para determinar, em favor dos substituídos pelo SINDICATO NACIONAL DOS SER</w:t>
      </w:r>
      <w:r>
        <w:rPr>
          <w:rFonts w:ascii="Times New Roman" w:eastAsia="Times New Roman" w:hAnsi="Times New Roman" w:cs="Times New Roman"/>
          <w:b/>
          <w:sz w:val="24"/>
          <w:szCs w:val="24"/>
          <w:u w:val="single"/>
        </w:rPr>
        <w:t xml:space="preserve">VIDORES DAS AGENCIAS NACIONAIS DE REGULACAO - SINAGENCIAS, a suspensão da eficácia do art. 9º, § 5º, e art. 11, caput, e §§ 1º a 4º, da Emenda Constitucional n. 103/2019, e do art. 149, §§ 1º-A a 1º-C, da Constituição </w:t>
      </w:r>
      <w:r>
        <w:rPr>
          <w:rFonts w:ascii="Times New Roman" w:eastAsia="Times New Roman" w:hAnsi="Times New Roman" w:cs="Times New Roman"/>
          <w:b/>
          <w:sz w:val="24"/>
          <w:szCs w:val="24"/>
          <w:u w:val="single"/>
        </w:rPr>
        <w:lastRenderedPageBreak/>
        <w:t>Federal, mantendo a contribuição previ</w:t>
      </w:r>
      <w:r>
        <w:rPr>
          <w:rFonts w:ascii="Times New Roman" w:eastAsia="Times New Roman" w:hAnsi="Times New Roman" w:cs="Times New Roman"/>
          <w:b/>
          <w:sz w:val="24"/>
          <w:szCs w:val="24"/>
          <w:u w:val="single"/>
        </w:rPr>
        <w:t xml:space="preserve">denciária em 11% (onze por cento), na forma da Lei n. 10.887/2004. </w:t>
      </w:r>
      <w:r>
        <w:rPr>
          <w:rFonts w:ascii="Times New Roman" w:eastAsia="Times New Roman" w:hAnsi="Times New Roman" w:cs="Times New Roman"/>
          <w:sz w:val="24"/>
          <w:szCs w:val="24"/>
        </w:rPr>
        <w:t>(grifamos)</w:t>
      </w:r>
    </w:p>
    <w:p w:rsidR="00E767FA" w:rsidRDefault="002D6CE4">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Desse modo, merece deferimento o pedido de tutela provisória de urgência, </w:t>
      </w:r>
      <w:r>
        <w:rPr>
          <w:rFonts w:ascii="Times New Roman" w:eastAsia="Times New Roman" w:hAnsi="Times New Roman" w:cs="Times New Roman"/>
          <w:i/>
          <w:sz w:val="24"/>
          <w:szCs w:val="24"/>
        </w:rPr>
        <w:t>inaudita altera parte</w:t>
      </w:r>
      <w:r>
        <w:rPr>
          <w:rFonts w:ascii="Times New Roman" w:eastAsia="Times New Roman" w:hAnsi="Times New Roman" w:cs="Times New Roman"/>
          <w:sz w:val="24"/>
          <w:szCs w:val="24"/>
        </w:rPr>
        <w:t>, sem a prévia oitiva da Ré, a fim de que seja afastada a incidência das alíquotas</w:t>
      </w:r>
      <w:r>
        <w:rPr>
          <w:rFonts w:ascii="Times New Roman" w:eastAsia="Times New Roman" w:hAnsi="Times New Roman" w:cs="Times New Roman"/>
          <w:sz w:val="24"/>
          <w:szCs w:val="24"/>
        </w:rPr>
        <w:t xml:space="preserve"> progressivas de contribuição previdenciária e a fixação de percentual mínimo de 14% em relação a essas contribuições, instituídas pela EC 103/2019, sob o risco de que os ora substituídos sejam compelidos a suportar carga tributária global com evidente car</w:t>
      </w:r>
      <w:r>
        <w:rPr>
          <w:rFonts w:ascii="Times New Roman" w:eastAsia="Times New Roman" w:hAnsi="Times New Roman" w:cs="Times New Roman"/>
          <w:sz w:val="24"/>
          <w:szCs w:val="24"/>
        </w:rPr>
        <w:t>áter confiscatório em um momento de pandemia global ocasionado pelo COVID-19, reconhecido pela OMS, provocando, assim, evidente redutibilidade dos vencimentos percebidos mensalmente, o que é vedado pela Constituição Federal, conforme preseceitua em seu art</w:t>
      </w:r>
      <w:r>
        <w:rPr>
          <w:rFonts w:ascii="Times New Roman" w:eastAsia="Times New Roman" w:hAnsi="Times New Roman" w:cs="Times New Roman"/>
          <w:sz w:val="24"/>
          <w:szCs w:val="24"/>
        </w:rPr>
        <w:t>. 37, inc. XV.</w:t>
      </w:r>
    </w:p>
    <w:p w:rsidR="00E767FA" w:rsidRDefault="002D6CE4">
      <w:pPr>
        <w:numPr>
          <w:ilvl w:val="0"/>
          <w:numId w:val="1"/>
        </w:numPr>
        <w:pBdr>
          <w:top w:val="nil"/>
          <w:left w:val="nil"/>
          <w:bottom w:val="nil"/>
          <w:right w:val="nil"/>
          <w:between w:val="nil"/>
        </w:pBdr>
        <w:spacing w:before="240" w:after="240" w:line="360" w:lineRule="auto"/>
        <w:jc w:val="center"/>
      </w:pPr>
      <w:r>
        <w:rPr>
          <w:rFonts w:ascii="Times New Roman" w:eastAsia="Times New Roman" w:hAnsi="Times New Roman" w:cs="Times New Roman"/>
          <w:b/>
          <w:color w:val="000000"/>
          <w:sz w:val="26"/>
          <w:szCs w:val="26"/>
          <w:u w:val="single"/>
        </w:rPr>
        <w:t xml:space="preserve">PEDIDO </w:t>
      </w:r>
    </w:p>
    <w:p w:rsidR="00E767FA" w:rsidRDefault="002D6CE4">
      <w:pPr>
        <w:spacing w:line="360" w:lineRule="auto"/>
        <w:ind w:firstLine="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face do exposto, a  Entidade Autora requer:</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 xml:space="preserve">A antecipação dos efeitos da tutela para suspender, em relação aos seus filiados, a eficácia do artigo 149, </w:t>
      </w:r>
      <w:r>
        <w:rPr>
          <w:rFonts w:ascii="Times New Roman" w:eastAsia="Times New Roman" w:hAnsi="Times New Roman" w:cs="Times New Roman"/>
          <w:i/>
          <w:color w:val="000000"/>
          <w:sz w:val="24"/>
          <w:szCs w:val="24"/>
        </w:rPr>
        <w:t>caput¸</w:t>
      </w:r>
      <w:r>
        <w:rPr>
          <w:rFonts w:ascii="Times New Roman" w:eastAsia="Times New Roman" w:hAnsi="Times New Roman" w:cs="Times New Roman"/>
          <w:color w:val="000000"/>
          <w:sz w:val="24"/>
          <w:szCs w:val="24"/>
        </w:rPr>
        <w:t xml:space="preserve"> e respectivos § 1º, da Constituição Federal, conforme redação conferida pelo artigo 1º da Emenda Constitucional 103/2019, e o art. 11, </w:t>
      </w:r>
      <w:r>
        <w:rPr>
          <w:rFonts w:ascii="Times New Roman" w:eastAsia="Times New Roman" w:hAnsi="Times New Roman" w:cs="Times New Roman"/>
          <w:i/>
          <w:color w:val="000000"/>
          <w:sz w:val="24"/>
          <w:szCs w:val="24"/>
        </w:rPr>
        <w:t xml:space="preserve">caput, e os </w:t>
      </w:r>
      <w:r>
        <w:rPr>
          <w:rFonts w:ascii="Times New Roman" w:eastAsia="Times New Roman" w:hAnsi="Times New Roman" w:cs="Times New Roman"/>
          <w:color w:val="000000"/>
          <w:sz w:val="24"/>
          <w:szCs w:val="24"/>
        </w:rPr>
        <w:t>§§ 1º, 2º, 3º e 4º, também da referida norma, enquanto perdurar o estado de  emergência global na saúde públ</w:t>
      </w:r>
      <w:r>
        <w:rPr>
          <w:rFonts w:ascii="Times New Roman" w:eastAsia="Times New Roman" w:hAnsi="Times New Roman" w:cs="Times New Roman"/>
          <w:color w:val="000000"/>
          <w:sz w:val="24"/>
          <w:szCs w:val="24"/>
        </w:rPr>
        <w:t>ica, amplamente reconhecido pela Lei nº 13.979/2020, determinando à União que não implemente, em favor dos substituídos, a progressividade das alíquotas de contribuição previdenciária durante o período, mantendo-se incólume a alíquota de 11% (onze por cent</w:t>
      </w:r>
      <w:r>
        <w:rPr>
          <w:rFonts w:ascii="Times New Roman" w:eastAsia="Times New Roman" w:hAnsi="Times New Roman" w:cs="Times New Roman"/>
          <w:color w:val="000000"/>
          <w:sz w:val="24"/>
          <w:szCs w:val="24"/>
        </w:rPr>
        <w:t>o);</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a citação da Ré, por meio de seus representantes legais;</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 xml:space="preserve">no mérito, sejam declaradas inconstitucionais o artigo 149, </w:t>
      </w:r>
      <w:r>
        <w:rPr>
          <w:rFonts w:ascii="Times New Roman" w:eastAsia="Times New Roman" w:hAnsi="Times New Roman" w:cs="Times New Roman"/>
          <w:i/>
          <w:color w:val="000000"/>
          <w:sz w:val="24"/>
          <w:szCs w:val="24"/>
        </w:rPr>
        <w:t>caput¸</w:t>
      </w:r>
      <w:r>
        <w:rPr>
          <w:rFonts w:ascii="Times New Roman" w:eastAsia="Times New Roman" w:hAnsi="Times New Roman" w:cs="Times New Roman"/>
          <w:color w:val="000000"/>
          <w:sz w:val="24"/>
          <w:szCs w:val="24"/>
        </w:rPr>
        <w:t xml:space="preserve"> e respectivos §§ 1º, 1º-A, 1º-B e 1º-C, da Constituição Federal, conforme redação conferida pelo artigo 1º da Emenda Constitucio</w:t>
      </w:r>
      <w:r>
        <w:rPr>
          <w:rFonts w:ascii="Times New Roman" w:eastAsia="Times New Roman" w:hAnsi="Times New Roman" w:cs="Times New Roman"/>
          <w:color w:val="000000"/>
          <w:sz w:val="24"/>
          <w:szCs w:val="24"/>
        </w:rPr>
        <w:t xml:space="preserve">nal 103/2019, art. 9º, </w:t>
      </w:r>
      <w:r>
        <w:rPr>
          <w:rFonts w:ascii="Times New Roman" w:eastAsia="Times New Roman" w:hAnsi="Times New Roman" w:cs="Times New Roman"/>
          <w:i/>
          <w:color w:val="000000"/>
          <w:sz w:val="24"/>
          <w:szCs w:val="24"/>
        </w:rPr>
        <w:t>caput</w:t>
      </w:r>
      <w:r>
        <w:rPr>
          <w:rFonts w:ascii="Times New Roman" w:eastAsia="Times New Roman" w:hAnsi="Times New Roman" w:cs="Times New Roman"/>
          <w:color w:val="000000"/>
          <w:sz w:val="24"/>
          <w:szCs w:val="24"/>
        </w:rPr>
        <w:t xml:space="preserve">, e seus §§ 4º e 5º, e art. 11, </w:t>
      </w:r>
      <w:r>
        <w:rPr>
          <w:rFonts w:ascii="Times New Roman" w:eastAsia="Times New Roman" w:hAnsi="Times New Roman" w:cs="Times New Roman"/>
          <w:i/>
          <w:color w:val="000000"/>
          <w:sz w:val="24"/>
          <w:szCs w:val="24"/>
        </w:rPr>
        <w:t xml:space="preserve">caput, e os </w:t>
      </w:r>
      <w:r>
        <w:rPr>
          <w:rFonts w:ascii="Times New Roman" w:eastAsia="Times New Roman" w:hAnsi="Times New Roman" w:cs="Times New Roman"/>
          <w:color w:val="000000"/>
          <w:sz w:val="24"/>
          <w:szCs w:val="24"/>
        </w:rPr>
        <w:t xml:space="preserve">§§ 1º, 2º, 3º e 4º, também da referida norma, e determinar à Fazenda que não implemente, em favor dos substituídos, a progressividades das alíquotas de contribuição </w:t>
      </w:r>
      <w:r>
        <w:rPr>
          <w:rFonts w:ascii="Times New Roman" w:eastAsia="Times New Roman" w:hAnsi="Times New Roman" w:cs="Times New Roman"/>
          <w:color w:val="000000"/>
          <w:sz w:val="24"/>
          <w:szCs w:val="24"/>
        </w:rPr>
        <w:lastRenderedPageBreak/>
        <w:t>previdenciária, bem</w:t>
      </w:r>
      <w:r>
        <w:rPr>
          <w:rFonts w:ascii="Times New Roman" w:eastAsia="Times New Roman" w:hAnsi="Times New Roman" w:cs="Times New Roman"/>
          <w:color w:val="000000"/>
          <w:sz w:val="24"/>
          <w:szCs w:val="24"/>
        </w:rPr>
        <w:t xml:space="preserve"> como a instituição da contribuição previdenciária extraordinária e ampliação da base contributiva devida pelos aposentados e pensionistas, em razão de sua incompatibilidade com os dispositivos constitucionais e legais veiculados nesta peça, mantendo-se as</w:t>
      </w:r>
      <w:r>
        <w:rPr>
          <w:rFonts w:ascii="Times New Roman" w:eastAsia="Times New Roman" w:hAnsi="Times New Roman" w:cs="Times New Roman"/>
          <w:color w:val="000000"/>
          <w:sz w:val="24"/>
          <w:szCs w:val="24"/>
        </w:rPr>
        <w:t xml:space="preserve"> alíquotas de contribuição previdenciária dos filiados conforme delineado anteriormente a sua vigência;</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 xml:space="preserve">seja a Ré condenada a restituir as diferenças relativas às contribuições eventualmente pagas a maior pelos servidores públicos substituídos, aplicando, </w:t>
      </w:r>
      <w:r>
        <w:rPr>
          <w:rFonts w:ascii="Times New Roman" w:eastAsia="Times New Roman" w:hAnsi="Times New Roman" w:cs="Times New Roman"/>
          <w:color w:val="000000"/>
          <w:sz w:val="24"/>
          <w:szCs w:val="24"/>
        </w:rPr>
        <w:t>em qualquer caso, os juros e a correção monetária do período, inclusive para aqueles servidores que, estando submetidos ao teto do RGPS em razão da data de ingresso no serviço público ou em virtude de migração ao Regime de Previdência Complementar, contrib</w:t>
      </w:r>
      <w:r>
        <w:rPr>
          <w:rFonts w:ascii="Times New Roman" w:eastAsia="Times New Roman" w:hAnsi="Times New Roman" w:cs="Times New Roman"/>
          <w:color w:val="000000"/>
          <w:sz w:val="24"/>
          <w:szCs w:val="24"/>
        </w:rPr>
        <w:t>uíssem com uma alíquota menor em razão da progressividade da EC 103/2019 e que passem a contribuir com 11% sobre o teto em razão do deferimento da liminar;</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seja a Ré condenada ao pagamento das custas processuais e dos honorários advocatícios, nos termos do</w:t>
      </w:r>
      <w:r>
        <w:rPr>
          <w:rFonts w:ascii="Times New Roman" w:eastAsia="Times New Roman" w:hAnsi="Times New Roman" w:cs="Times New Roman"/>
          <w:color w:val="000000"/>
          <w:sz w:val="24"/>
          <w:szCs w:val="24"/>
        </w:rPr>
        <w:t xml:space="preserve"> art. 85 do CPC.</w:t>
      </w:r>
    </w:p>
    <w:p w:rsidR="00E767FA" w:rsidRDefault="002D6CE4">
      <w:pPr>
        <w:numPr>
          <w:ilvl w:val="0"/>
          <w:numId w:val="2"/>
        </w:numPr>
        <w:pBdr>
          <w:top w:val="nil"/>
          <w:left w:val="nil"/>
          <w:bottom w:val="nil"/>
          <w:right w:val="nil"/>
          <w:between w:val="nil"/>
        </w:pBdr>
        <w:spacing w:before="240" w:line="360" w:lineRule="auto"/>
        <w:ind w:left="0" w:firstLine="2268"/>
        <w:jc w:val="both"/>
      </w:pPr>
      <w:r>
        <w:rPr>
          <w:rFonts w:ascii="Times New Roman" w:eastAsia="Times New Roman" w:hAnsi="Times New Roman" w:cs="Times New Roman"/>
          <w:color w:val="000000"/>
          <w:sz w:val="24"/>
          <w:szCs w:val="24"/>
        </w:rPr>
        <w:t>a produção de provas por todos os meios admitidos em direito, em especial pelas provas documentais juntadas e outras que vierem a ser produzidas no curso processual.</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Dá-se à presente causa, para efeitos meramente fiscais (art. 291 CPC), o valor de R$ 10.000,00 (dez mil reais). </w:t>
      </w:r>
    </w:p>
    <w:p w:rsidR="00E767FA" w:rsidRDefault="002D6CE4">
      <w:pPr>
        <w:pBdr>
          <w:top w:val="nil"/>
          <w:left w:val="nil"/>
          <w:bottom w:val="nil"/>
          <w:right w:val="nil"/>
          <w:between w:val="nil"/>
        </w:pBdr>
        <w:spacing w:before="240" w:line="360" w:lineRule="auto"/>
        <w:ind w:firstLine="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pugna-se para que todas as intimações e publicações sejam realizadas exclusivamente em nome de </w:t>
      </w:r>
      <w:r>
        <w:rPr>
          <w:rFonts w:ascii="Times New Roman" w:eastAsia="Times New Roman" w:hAnsi="Times New Roman" w:cs="Times New Roman"/>
          <w:color w:val="FF0000"/>
          <w:sz w:val="24"/>
          <w:szCs w:val="24"/>
        </w:rPr>
        <w:t>ADVOGADO</w:t>
      </w:r>
      <w:r>
        <w:rPr>
          <w:rFonts w:ascii="Times New Roman" w:eastAsia="Times New Roman" w:hAnsi="Times New Roman" w:cs="Times New Roman"/>
          <w:color w:val="000000"/>
          <w:sz w:val="24"/>
          <w:szCs w:val="24"/>
        </w:rPr>
        <w:t>.</w:t>
      </w:r>
    </w:p>
    <w:p w:rsidR="00E767FA" w:rsidRDefault="002D6CE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Nesses termos, pede proviment</w:t>
      </w:r>
      <w:r>
        <w:rPr>
          <w:rFonts w:ascii="Times New Roman" w:eastAsia="Times New Roman" w:hAnsi="Times New Roman" w:cs="Times New Roman"/>
          <w:sz w:val="24"/>
          <w:szCs w:val="24"/>
        </w:rPr>
        <w:t>o.</w:t>
      </w:r>
    </w:p>
    <w:p w:rsidR="00E767FA" w:rsidRDefault="002D6CE4">
      <w:pPr>
        <w:spacing w:before="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Brasília (DF), 14 de abril de 2020.</w:t>
      </w:r>
    </w:p>
    <w:p w:rsidR="00E767FA" w:rsidRDefault="00E767FA">
      <w:pPr>
        <w:spacing w:line="360" w:lineRule="auto"/>
        <w:jc w:val="both"/>
        <w:rPr>
          <w:rFonts w:ascii="Times New Roman" w:eastAsia="Times New Roman" w:hAnsi="Times New Roman" w:cs="Times New Roman"/>
          <w:sz w:val="24"/>
          <w:szCs w:val="24"/>
        </w:rPr>
      </w:pPr>
    </w:p>
    <w:tbl>
      <w:tblPr>
        <w:tblStyle w:val="a0"/>
        <w:tblW w:w="919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89"/>
        <w:gridCol w:w="4606"/>
      </w:tblGrid>
      <w:tr w:rsidR="00E767FA">
        <w:tc>
          <w:tcPr>
            <w:tcW w:w="4589" w:type="dxa"/>
          </w:tcPr>
          <w:p w:rsidR="00E767FA" w:rsidRDefault="002D6CE4">
            <w:pPr>
              <w:jc w:val="center"/>
              <w:rPr>
                <w:b/>
                <w:sz w:val="24"/>
                <w:szCs w:val="24"/>
              </w:rPr>
            </w:pPr>
            <w:r>
              <w:rPr>
                <w:b/>
                <w:sz w:val="24"/>
                <w:szCs w:val="24"/>
              </w:rPr>
              <w:t>Leandro Maureira Silva</w:t>
            </w:r>
          </w:p>
          <w:p w:rsidR="00E767FA" w:rsidRDefault="002D6CE4">
            <w:pPr>
              <w:jc w:val="center"/>
              <w:rPr>
                <w:b/>
                <w:sz w:val="24"/>
                <w:szCs w:val="24"/>
              </w:rPr>
            </w:pPr>
            <w:r>
              <w:rPr>
                <w:b/>
                <w:sz w:val="24"/>
                <w:szCs w:val="24"/>
              </w:rPr>
              <w:t>OAB/DF 24.298</w:t>
            </w:r>
          </w:p>
        </w:tc>
        <w:tc>
          <w:tcPr>
            <w:tcW w:w="4606" w:type="dxa"/>
          </w:tcPr>
          <w:p w:rsidR="00E767FA" w:rsidRDefault="002D6CE4">
            <w:pPr>
              <w:jc w:val="center"/>
              <w:rPr>
                <w:b/>
                <w:sz w:val="24"/>
                <w:szCs w:val="24"/>
              </w:rPr>
            </w:pPr>
            <w:r>
              <w:rPr>
                <w:b/>
                <w:sz w:val="24"/>
                <w:szCs w:val="24"/>
              </w:rPr>
              <w:t>Grauther José Nascimento Sobrinho</w:t>
            </w:r>
          </w:p>
          <w:p w:rsidR="00E767FA" w:rsidRDefault="002D6CE4">
            <w:pPr>
              <w:jc w:val="center"/>
              <w:rPr>
                <w:b/>
                <w:sz w:val="24"/>
                <w:szCs w:val="24"/>
              </w:rPr>
            </w:pPr>
            <w:r>
              <w:rPr>
                <w:b/>
                <w:sz w:val="24"/>
                <w:szCs w:val="24"/>
              </w:rPr>
              <w:t>OAB/DF 64.457</w:t>
            </w:r>
          </w:p>
          <w:p w:rsidR="00E767FA" w:rsidRDefault="00E767FA">
            <w:pPr>
              <w:jc w:val="center"/>
              <w:rPr>
                <w:b/>
                <w:sz w:val="24"/>
                <w:szCs w:val="24"/>
              </w:rPr>
            </w:pPr>
          </w:p>
        </w:tc>
      </w:tr>
    </w:tbl>
    <w:p w:rsidR="00E767FA" w:rsidRDefault="00E767FA">
      <w:pPr>
        <w:rPr>
          <w:rFonts w:ascii="Times New Roman" w:eastAsia="Times New Roman" w:hAnsi="Times New Roman" w:cs="Times New Roman"/>
          <w:sz w:val="24"/>
          <w:szCs w:val="24"/>
        </w:rPr>
      </w:pPr>
    </w:p>
    <w:p w:rsidR="00E767FA" w:rsidRDefault="00E767FA">
      <w:pPr>
        <w:rPr>
          <w:rFonts w:ascii="Times New Roman" w:eastAsia="Times New Roman" w:hAnsi="Times New Roman" w:cs="Times New Roman"/>
          <w:sz w:val="24"/>
          <w:szCs w:val="24"/>
        </w:rPr>
      </w:pPr>
    </w:p>
    <w:p w:rsidR="00E767FA" w:rsidRDefault="00E767FA">
      <w:pPr>
        <w:rPr>
          <w:rFonts w:ascii="Times New Roman" w:eastAsia="Times New Roman" w:hAnsi="Times New Roman" w:cs="Times New Roman"/>
          <w:sz w:val="24"/>
          <w:szCs w:val="24"/>
        </w:rPr>
      </w:pPr>
    </w:p>
    <w:p w:rsidR="00E767FA" w:rsidRDefault="00E767FA">
      <w:pPr>
        <w:rPr>
          <w:rFonts w:ascii="Times New Roman" w:eastAsia="Times New Roman" w:hAnsi="Times New Roman" w:cs="Times New Roman"/>
          <w:sz w:val="24"/>
          <w:szCs w:val="24"/>
        </w:rPr>
      </w:pPr>
    </w:p>
    <w:p w:rsidR="00E767FA" w:rsidRDefault="00E767FA">
      <w:pPr>
        <w:spacing w:after="0"/>
      </w:pPr>
    </w:p>
    <w:sectPr w:rsidR="00E767FA">
      <w:headerReference w:type="even" r:id="rId25"/>
      <w:headerReference w:type="default" r:id="rId26"/>
      <w:footerReference w:type="even" r:id="rId27"/>
      <w:footerReference w:type="default" r:id="rId28"/>
      <w:headerReference w:type="first" r:id="rId29"/>
      <w:footerReference w:type="first" r:id="rId30"/>
      <w:pgSz w:w="11906" w:h="16838"/>
      <w:pgMar w:top="2523" w:right="726" w:bottom="1701" w:left="1985" w:header="34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6CE4">
      <w:pPr>
        <w:spacing w:after="0" w:line="240" w:lineRule="auto"/>
      </w:pPr>
      <w:r>
        <w:separator/>
      </w:r>
    </w:p>
  </w:endnote>
  <w:endnote w:type="continuationSeparator" w:id="0">
    <w:p w:rsidR="00000000" w:rsidRDefault="002D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E767FA">
    <w:pPr>
      <w:pBdr>
        <w:top w:val="nil"/>
        <w:left w:val="nil"/>
        <w:bottom w:val="nil"/>
        <w:right w:val="nil"/>
        <w:between w:val="nil"/>
      </w:pBdr>
      <w:tabs>
        <w:tab w:val="center" w:pos="4419"/>
        <w:tab w:val="right" w:pos="8838"/>
      </w:tabs>
      <w:spacing w:line="360" w:lineRule="auto"/>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2D6CE4">
    <w:pPr>
      <w:pBdr>
        <w:top w:val="nil"/>
        <w:left w:val="nil"/>
        <w:bottom w:val="nil"/>
        <w:right w:val="nil"/>
        <w:between w:val="nil"/>
      </w:pBdr>
      <w:tabs>
        <w:tab w:val="left" w:pos="4094"/>
      </w:tabs>
      <w:spacing w:line="360" w:lineRule="auto"/>
      <w:rPr>
        <w:color w:val="000000"/>
      </w:rPr>
    </w:pPr>
    <w:r>
      <w:rPr>
        <w:noProof/>
        <w:color w:val="000000"/>
      </w:rPr>
      <w:drawing>
        <wp:inline distT="0" distB="0" distL="0" distR="0">
          <wp:extent cx="6198870" cy="5607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98870" cy="560705"/>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E767FA">
    <w:pPr>
      <w:pBdr>
        <w:top w:val="nil"/>
        <w:left w:val="nil"/>
        <w:bottom w:val="nil"/>
        <w:right w:val="nil"/>
        <w:between w:val="nil"/>
      </w:pBdr>
      <w:tabs>
        <w:tab w:val="center" w:pos="4419"/>
        <w:tab w:val="right" w:pos="8838"/>
      </w:tabs>
      <w:spacing w:line="360" w:lineRule="auto"/>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6CE4">
      <w:pPr>
        <w:spacing w:after="0" w:line="240" w:lineRule="auto"/>
      </w:pPr>
      <w:r>
        <w:separator/>
      </w:r>
    </w:p>
  </w:footnote>
  <w:footnote w:type="continuationSeparator" w:id="0">
    <w:p w:rsidR="00000000" w:rsidRDefault="002D6CE4">
      <w:pPr>
        <w:spacing w:after="0" w:line="240" w:lineRule="auto"/>
      </w:pPr>
      <w:r>
        <w:continuationSeparator/>
      </w:r>
    </w:p>
  </w:footnote>
  <w:footnote w:id="1">
    <w:p w:rsidR="00E767FA" w:rsidRDefault="002D6CE4">
      <w:pPr>
        <w:widowControl w:val="0"/>
        <w:pBdr>
          <w:top w:val="nil"/>
          <w:left w:val="nil"/>
          <w:bottom w:val="nil"/>
          <w:right w:val="nil"/>
          <w:between w:val="nil"/>
        </w:pBdr>
        <w:spacing w:after="0" w:line="240" w:lineRule="auto"/>
        <w:ind w:left="283" w:hanging="283"/>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Cálculo efetuado em: </w:t>
      </w:r>
      <w:hyperlink r:id="rId1">
        <w:r>
          <w:rPr>
            <w:rFonts w:ascii="Times New Roman" w:eastAsia="Times New Roman" w:hAnsi="Times New Roman" w:cs="Times New Roman"/>
            <w:color w:val="000000"/>
            <w:sz w:val="20"/>
            <w:szCs w:val="20"/>
          </w:rPr>
          <w:t>https://www.servicos.gov.br/calculadora/</w:t>
        </w:r>
      </w:hyperlink>
    </w:p>
  </w:footnote>
  <w:footnote w:id="2">
    <w:p w:rsidR="00E767FA" w:rsidRDefault="002D6CE4">
      <w:pPr>
        <w:widowControl w:val="0"/>
        <w:pBdr>
          <w:top w:val="nil"/>
          <w:left w:val="nil"/>
          <w:bottom w:val="nil"/>
          <w:right w:val="nil"/>
          <w:between w:val="nil"/>
        </w:pBdr>
        <w:spacing w:after="0" w:line="240" w:lineRule="auto"/>
        <w:ind w:left="283" w:hanging="283"/>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Sobre notícias falaciosas divulgadas pelo Governo Federal: </w:t>
      </w:r>
      <w:hyperlink r:id="rId2">
        <w:r>
          <w:rPr>
            <w:rFonts w:ascii="Times New Roman" w:eastAsia="Times New Roman" w:hAnsi="Times New Roman" w:cs="Times New Roman"/>
            <w:color w:val="000000"/>
            <w:sz w:val="16"/>
            <w:szCs w:val="16"/>
          </w:rPr>
          <w:t>https://anafenacional.org.br/congresso-em-foco-a-reforma-justa-para-os-servidores/</w:t>
        </w:r>
      </w:hyperlink>
      <w:r>
        <w:rPr>
          <w:rFonts w:ascii="Times New Roman" w:eastAsia="Times New Roman" w:hAnsi="Times New Roman" w:cs="Times New Roman"/>
          <w:color w:val="000000"/>
          <w:sz w:val="16"/>
          <w:szCs w:val="16"/>
        </w:rPr>
        <w:t xml:space="preserve">; </w:t>
      </w:r>
      <w:hyperlink r:id="rId3">
        <w:r>
          <w:rPr>
            <w:rFonts w:ascii="Times New Roman" w:eastAsia="Times New Roman" w:hAnsi="Times New Roman" w:cs="Times New Roman"/>
            <w:color w:val="000000"/>
            <w:sz w:val="16"/>
            <w:szCs w:val="16"/>
          </w:rPr>
          <w:t>https://www</w:t>
        </w:r>
        <w:r>
          <w:rPr>
            <w:rFonts w:ascii="Times New Roman" w:eastAsia="Times New Roman" w:hAnsi="Times New Roman" w:cs="Times New Roman"/>
            <w:color w:val="000000"/>
            <w:sz w:val="16"/>
            <w:szCs w:val="16"/>
          </w:rPr>
          <w:t>.ajufe.org.br/imprensa/artigos/12439-a-demonizacao-dos-servidores-publicos-e-a-reforma-da-previdencia</w:t>
        </w:r>
      </w:hyperlink>
    </w:p>
  </w:footnote>
  <w:footnote w:id="3">
    <w:p w:rsidR="00E767FA" w:rsidRDefault="002D6CE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No mesmo sentido: RE nº 386.098/MT-AgR; RE nº 464.582/PR-AgR.</w:t>
      </w:r>
    </w:p>
    <w:p w:rsidR="00E767FA" w:rsidRDefault="00E767FA">
      <w:pPr>
        <w:widowControl w:val="0"/>
        <w:pBdr>
          <w:top w:val="nil"/>
          <w:left w:val="nil"/>
          <w:bottom w:val="nil"/>
          <w:right w:val="nil"/>
          <w:between w:val="nil"/>
        </w:pBdr>
        <w:spacing w:after="0" w:line="240" w:lineRule="auto"/>
        <w:ind w:left="283" w:hanging="283"/>
        <w:rPr>
          <w:color w:val="000000"/>
          <w:sz w:val="20"/>
          <w:szCs w:val="20"/>
        </w:rPr>
      </w:pPr>
    </w:p>
  </w:footnote>
  <w:footnote w:id="4">
    <w:p w:rsidR="00E767FA" w:rsidRDefault="002D6CE4">
      <w:pPr>
        <w:widowControl w:val="0"/>
        <w:pBdr>
          <w:top w:val="nil"/>
          <w:left w:val="nil"/>
          <w:bottom w:val="nil"/>
          <w:right w:val="nil"/>
          <w:between w:val="nil"/>
        </w:pBdr>
        <w:spacing w:after="0" w:line="240" w:lineRule="auto"/>
        <w:ind w:left="283" w:hanging="283"/>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highlight w:val="white"/>
        </w:rPr>
        <w:t xml:space="preserve">Disponível em: </w:t>
      </w:r>
      <w:hyperlink r:id="rId4">
        <w:r>
          <w:rPr>
            <w:rFonts w:ascii="Times New Roman" w:eastAsia="Times New Roman" w:hAnsi="Times New Roman" w:cs="Times New Roman"/>
            <w:color w:val="000000"/>
            <w:sz w:val="16"/>
            <w:szCs w:val="16"/>
            <w:highlight w:val="white"/>
          </w:rPr>
          <w:t>https://www.camara.leg.br/proposicoesWeb/fichadetramitacao?idProposicao=2192459</w:t>
        </w:r>
      </w:hyperlink>
    </w:p>
  </w:footnote>
  <w:footnote w:id="5">
    <w:p w:rsidR="00E767FA" w:rsidRDefault="002D6CE4">
      <w:pPr>
        <w:widowControl w:val="0"/>
        <w:pBdr>
          <w:top w:val="nil"/>
          <w:left w:val="nil"/>
          <w:bottom w:val="nil"/>
          <w:right w:val="nil"/>
          <w:between w:val="nil"/>
        </w:pBdr>
        <w:spacing w:after="0" w:line="240" w:lineRule="auto"/>
        <w:ind w:left="283" w:hanging="283"/>
        <w:rPr>
          <w:color w:val="000000"/>
          <w:sz w:val="20"/>
          <w:szCs w:val="20"/>
        </w:rPr>
      </w:pPr>
      <w:r>
        <w:rPr>
          <w:vertAlign w:val="superscript"/>
        </w:rPr>
        <w:footnoteRef/>
      </w:r>
      <w:r>
        <w:rPr>
          <w:color w:val="000000"/>
          <w:sz w:val="20"/>
          <w:szCs w:val="20"/>
        </w:rPr>
        <w:t xml:space="preserve"> </w:t>
      </w:r>
      <w:hyperlink r:id="rId5">
        <w:r>
          <w:rPr>
            <w:rFonts w:ascii="Times New Roman" w:eastAsia="Times New Roman" w:hAnsi="Times New Roman" w:cs="Times New Roman"/>
            <w:color w:val="000000"/>
            <w:sz w:val="20"/>
            <w:szCs w:val="20"/>
          </w:rPr>
          <w:t>https://brasil.elpais.com/brasil/2020-04-13/ultimas-noticias-sobre-o-coronavirus-no-brasil-e-no-mundo.html</w:t>
        </w:r>
      </w:hyperlink>
    </w:p>
  </w:footnote>
  <w:footnote w:id="6">
    <w:p w:rsidR="00E767FA" w:rsidRDefault="002D6CE4">
      <w:pPr>
        <w:widowControl w:v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6">
        <w:r>
          <w:rPr>
            <w:rFonts w:ascii="Times New Roman" w:eastAsia="Times New Roman" w:hAnsi="Times New Roman" w:cs="Times New Roman"/>
            <w:color w:val="000000"/>
            <w:sz w:val="20"/>
            <w:szCs w:val="20"/>
          </w:rPr>
          <w:t>https://www.correiobraziliense.com.br/app/noticia/politica/2020/03/20/interna_politica,83</w:t>
        </w:r>
        <w:r>
          <w:rPr>
            <w:rFonts w:ascii="Times New Roman" w:eastAsia="Times New Roman" w:hAnsi="Times New Roman" w:cs="Times New Roman"/>
            <w:color w:val="000000"/>
            <w:sz w:val="20"/>
            <w:szCs w:val="20"/>
          </w:rPr>
          <w:t>5626/ministro-da-saude-anuncia-previsao-de-colapso-do-sistema-no-fim-de-abr.shtml</w:t>
        </w:r>
      </w:hyperlink>
    </w:p>
  </w:footnote>
  <w:footnote w:id="7">
    <w:p w:rsidR="00E767FA" w:rsidRDefault="002D6CE4">
      <w:pPr>
        <w:widowControl w:v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Neste sentido: Portaria 450, de 3 de abril de 2020, do INSS; Instrução Normativa 28, de 25 de março de 2020, do Ministério da Economia.</w:t>
      </w:r>
    </w:p>
  </w:footnote>
  <w:footnote w:id="8">
    <w:p w:rsidR="00E767FA" w:rsidRDefault="002D6CE4">
      <w:pPr>
        <w:widowControl w:val="0"/>
        <w:pBdr>
          <w:top w:val="nil"/>
          <w:left w:val="nil"/>
          <w:bottom w:val="nil"/>
          <w:right w:val="nil"/>
          <w:between w:val="nil"/>
        </w:pBdr>
        <w:spacing w:after="0" w:line="240" w:lineRule="auto"/>
        <w:ind w:left="283" w:hanging="283"/>
        <w:rPr>
          <w:color w:val="000000"/>
          <w:sz w:val="20"/>
          <w:szCs w:val="20"/>
        </w:rPr>
      </w:pPr>
      <w:r>
        <w:rPr>
          <w:vertAlign w:val="superscript"/>
        </w:rPr>
        <w:footnoteRef/>
      </w:r>
      <w:r>
        <w:rPr>
          <w:color w:val="000000"/>
          <w:sz w:val="20"/>
          <w:szCs w:val="20"/>
        </w:rPr>
        <w:t xml:space="preserve"> </w:t>
      </w:r>
      <w:hyperlink r:id="rId7">
        <w:r>
          <w:rPr>
            <w:rFonts w:ascii="Times New Roman" w:eastAsia="Times New Roman" w:hAnsi="Times New Roman" w:cs="Times New Roman"/>
            <w:color w:val="000000"/>
            <w:sz w:val="20"/>
            <w:szCs w:val="20"/>
          </w:rPr>
          <w:t>https://www.bbc.com/portuguese/internacional-51198297</w:t>
        </w:r>
      </w:hyperlink>
    </w:p>
  </w:footnote>
  <w:footnote w:id="9">
    <w:p w:rsidR="00E767FA" w:rsidRDefault="002D6CE4">
      <w:pPr>
        <w:widowControl w:val="0"/>
        <w:pBdr>
          <w:top w:val="nil"/>
          <w:left w:val="nil"/>
          <w:bottom w:val="nil"/>
          <w:right w:val="nil"/>
          <w:between w:val="nil"/>
        </w:pBdr>
        <w:spacing w:after="0" w:line="240" w:lineRule="auto"/>
        <w:ind w:left="283" w:hanging="283"/>
        <w:rPr>
          <w:color w:val="000000"/>
          <w:sz w:val="20"/>
          <w:szCs w:val="20"/>
        </w:rPr>
      </w:pPr>
      <w:r>
        <w:rPr>
          <w:vertAlign w:val="superscript"/>
        </w:rPr>
        <w:footnoteRef/>
      </w:r>
      <w:r>
        <w:rPr>
          <w:color w:val="000000"/>
          <w:sz w:val="20"/>
          <w:szCs w:val="20"/>
        </w:rPr>
        <w:t xml:space="preserve"> </w:t>
      </w:r>
      <w:hyperlink r:id="rId8">
        <w:r>
          <w:rPr>
            <w:rFonts w:ascii="Times New Roman" w:eastAsia="Times New Roman" w:hAnsi="Times New Roman" w:cs="Times New Roman"/>
            <w:color w:val="000000"/>
            <w:sz w:val="20"/>
            <w:szCs w:val="20"/>
          </w:rPr>
          <w:t>https://oglobo.globo.com/brasil/quarenten</w:t>
        </w:r>
        <w:r>
          <w:rPr>
            <w:rFonts w:ascii="Times New Roman" w:eastAsia="Times New Roman" w:hAnsi="Times New Roman" w:cs="Times New Roman"/>
            <w:color w:val="000000"/>
            <w:sz w:val="20"/>
            <w:szCs w:val="20"/>
          </w:rPr>
          <w:t>a-mantida-por-23-estados-em-combate-ao-coronavirus-24354401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E767FA">
    <w:pPr>
      <w:pBdr>
        <w:top w:val="nil"/>
        <w:left w:val="nil"/>
        <w:bottom w:val="nil"/>
        <w:right w:val="nil"/>
        <w:between w:val="nil"/>
      </w:pBdr>
      <w:tabs>
        <w:tab w:val="center" w:pos="4725"/>
        <w:tab w:val="right" w:pos="945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2D6CE4">
    <w:pPr>
      <w:ind w:right="-88"/>
      <w:jc w:val="right"/>
      <w:rPr>
        <w:sz w:val="14"/>
        <w:szCs w:val="14"/>
      </w:rPr>
    </w:pPr>
    <w:r>
      <w:fldChar w:fldCharType="begin"/>
    </w:r>
    <w:r>
      <w:instrText>PAGE</w:instrText>
    </w:r>
    <w:r>
      <w:fldChar w:fldCharType="separate"/>
    </w:r>
    <w:r>
      <w:rPr>
        <w:noProof/>
      </w:rPr>
      <w:t>1</w:t>
    </w:r>
    <w:r>
      <w:fldChar w:fldCharType="end"/>
    </w:r>
  </w:p>
  <w:p w:rsidR="00E767FA" w:rsidRDefault="002D6CE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14"/>
        <w:szCs w:val="14"/>
      </w:rPr>
      <w:t xml:space="preserve">Alino da Costa Monteiro (in memoriam)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Mauro de Azevedo Menezes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Gustavo Ramos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Monya Tavares      Marcelise Azevedo</w:t>
    </w:r>
    <w:r>
      <w:rPr>
        <w:rFonts w:ascii="Times New Roman" w:eastAsia="Times New Roman" w:hAnsi="Times New Roman" w:cs="Times New Roman"/>
        <w:color w:val="000000"/>
        <w:sz w:val="14"/>
        <w:szCs w:val="14"/>
      </w:rPr>
      <w:t xml:space="preserve"> • </w:t>
    </w:r>
    <w:r>
      <w:rPr>
        <w:rFonts w:ascii="Times New Roman" w:eastAsia="Times New Roman" w:hAnsi="Times New Roman" w:cs="Times New Roman"/>
        <w:b/>
        <w:color w:val="000000"/>
        <w:sz w:val="14"/>
        <w:szCs w:val="14"/>
      </w:rPr>
      <w:t xml:space="preserve">Renata Fleury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João Gabriel Lopes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Erica Coutinho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Denise Arantes</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Cíntia Roberta Fernandes</w:t>
    </w:r>
    <w:r>
      <w:rPr>
        <w:rFonts w:ascii="Times New Roman" w:eastAsia="Times New Roman" w:hAnsi="Times New Roman" w:cs="Times New Roman"/>
        <w:color w:val="000000"/>
        <w:sz w:val="14"/>
        <w:szCs w:val="14"/>
      </w:rPr>
      <w:t xml:space="preserve"> • </w:t>
    </w:r>
    <w:r>
      <w:rPr>
        <w:rFonts w:ascii="Times New Roman" w:eastAsia="Times New Roman" w:hAnsi="Times New Roman" w:cs="Times New Roman"/>
        <w:b/>
        <w:color w:val="000000"/>
        <w:sz w:val="14"/>
        <w:szCs w:val="14"/>
      </w:rPr>
      <w:t xml:space="preserve">Moacir Martins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Leandro </w:t>
    </w:r>
    <w:r>
      <w:rPr>
        <w:rFonts w:ascii="Times New Roman" w:eastAsia="Times New Roman" w:hAnsi="Times New Roman" w:cs="Times New Roman"/>
        <w:b/>
        <w:color w:val="000000"/>
        <w:sz w:val="14"/>
        <w:szCs w:val="14"/>
      </w:rPr>
      <w:t>Madureira</w:t>
    </w:r>
    <w:r>
      <w:rPr>
        <w:rFonts w:ascii="Times New Roman" w:eastAsia="Times New Roman" w:hAnsi="Times New Roman" w:cs="Times New Roman"/>
        <w:color w:val="000000"/>
        <w:sz w:val="14"/>
        <w:szCs w:val="14"/>
      </w:rPr>
      <w:t xml:space="preserve"> • </w:t>
    </w:r>
    <w:r>
      <w:rPr>
        <w:rFonts w:ascii="Times New Roman" w:eastAsia="Times New Roman" w:hAnsi="Times New Roman" w:cs="Times New Roman"/>
        <w:b/>
        <w:color w:val="000000"/>
        <w:sz w:val="14"/>
        <w:szCs w:val="14"/>
      </w:rPr>
      <w:t xml:space="preserve">Rodrigo Torelly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Raquel Rieger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Andréa Magnani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Laís Pinto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Paulo Lemgruber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Rodrigo Castro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Verônica Irazabal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Pedro Mahin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                          Rafaela Possera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4"/>
        <w:szCs w:val="14"/>
      </w:rPr>
      <w:t xml:space="preserve">Milena Pinheiro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Roberto Drawanz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Renata Oliveira </w:t>
    </w:r>
    <w:r>
      <w:rPr>
        <w:rFonts w:ascii="Times New Roman" w:eastAsia="Times New Roman" w:hAnsi="Times New Roman" w:cs="Times New Roman"/>
        <w:color w:val="000000"/>
        <w:sz w:val="14"/>
        <w:szCs w:val="14"/>
      </w:rPr>
      <w:t>•</w:t>
    </w:r>
    <w:r>
      <w:rPr>
        <w:rFonts w:ascii="Times New Roman" w:eastAsia="Times New Roman" w:hAnsi="Times New Roman" w:cs="Times New Roman"/>
        <w:b/>
        <w:color w:val="000000"/>
        <w:sz w:val="14"/>
        <w:szCs w:val="14"/>
      </w:rPr>
      <w:t xml:space="preserve"> Isadora Caldas</w:t>
    </w:r>
    <w:r>
      <w:rPr>
        <w:rFonts w:ascii="Times New Roman" w:eastAsia="Times New Roman" w:hAnsi="Times New Roman" w:cs="Times New Roman"/>
        <w:color w:val="000000"/>
        <w:sz w:val="14"/>
        <w:szCs w:val="14"/>
      </w:rPr>
      <w:t xml:space="preserve"> • Hugo Moraes • Anne Motta Ana Carla Farias • Marcelly Badaró • Luana Albuquerque • Amir Khodr • Andreia Mendes • Lucas Capoulade • Juliana Cazé Bruna Costa • Silvia Santos • Hugo Fonseca • Danilo Prudente • Raquel de Cast</w:t>
    </w:r>
    <w:r>
      <w:rPr>
        <w:rFonts w:ascii="Times New Roman" w:eastAsia="Times New Roman" w:hAnsi="Times New Roman" w:cs="Times New Roman"/>
        <w:color w:val="000000"/>
        <w:sz w:val="14"/>
        <w:szCs w:val="14"/>
      </w:rPr>
      <w:t>ilho • Julia Araujo • Raquel Santana              Karen Couto • Camila Gomes • Tainã Gois • Fernanda Figueredo • Jaqueline Almeida • Everton Figueiredo • Manuela Fleury</w:t>
    </w:r>
    <w:r>
      <w:rPr>
        <w:noProof/>
      </w:rPr>
      <w:drawing>
        <wp:anchor distT="0" distB="0" distL="114300" distR="114300" simplePos="0" relativeHeight="251658240" behindDoc="0" locked="0" layoutInCell="1" hidden="0" allowOverlap="1">
          <wp:simplePos x="0" y="0"/>
          <wp:positionH relativeFrom="column">
            <wp:posOffset>-402531</wp:posOffset>
          </wp:positionH>
          <wp:positionV relativeFrom="paragraph">
            <wp:posOffset>113029</wp:posOffset>
          </wp:positionV>
          <wp:extent cx="1742872" cy="536726"/>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42872" cy="536726"/>
                  </a:xfrm>
                  <a:prstGeom prst="rect">
                    <a:avLst/>
                  </a:prstGeom>
                  <a:ln/>
                </pic:spPr>
              </pic:pic>
            </a:graphicData>
          </a:graphic>
        </wp:anchor>
      </w:drawing>
    </w:r>
  </w:p>
  <w:p w:rsidR="00E767FA" w:rsidRDefault="002D6CE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Anna Clara Balzachi • Grauther Sobrinho • Maria Eduarda Gomes</w:t>
    </w:r>
  </w:p>
  <w:p w:rsidR="00E767FA" w:rsidRDefault="002D6CE4">
    <w:pPr>
      <w:pBdr>
        <w:top w:val="nil"/>
        <w:left w:val="nil"/>
        <w:bottom w:val="nil"/>
        <w:right w:val="nil"/>
        <w:between w:val="nil"/>
      </w:pBdr>
      <w:spacing w:after="0" w:line="240" w:lineRule="auto"/>
      <w:ind w:left="2268"/>
      <w:jc w:val="both"/>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FA" w:rsidRDefault="00E767FA">
    <w:pPr>
      <w:pBdr>
        <w:top w:val="nil"/>
        <w:left w:val="nil"/>
        <w:bottom w:val="nil"/>
        <w:right w:val="nil"/>
        <w:between w:val="nil"/>
      </w:pBdr>
      <w:tabs>
        <w:tab w:val="center" w:pos="4725"/>
        <w:tab w:val="right" w:pos="945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6333"/>
    <w:multiLevelType w:val="multilevel"/>
    <w:tmpl w:val="D18804D4"/>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5E6D4C01"/>
    <w:multiLevelType w:val="multilevel"/>
    <w:tmpl w:val="15A6072A"/>
    <w:lvl w:ilvl="0">
      <w:start w:val="1"/>
      <w:numFmt w:val="lowerLetter"/>
      <w:lvlText w:val="%1)"/>
      <w:lvlJc w:val="left"/>
      <w:pPr>
        <w:ind w:left="2628" w:hanging="360"/>
      </w:pPr>
      <w:rPr>
        <w:b/>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767FA"/>
    <w:rsid w:val="002D6CE4"/>
    <w:rsid w:val="00E76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line="360" w:lineRule="auto"/>
      <w:jc w:val="center"/>
      <w:outlineLvl w:val="0"/>
    </w:pPr>
    <w:rPr>
      <w:b/>
      <w:sz w:val="24"/>
      <w:szCs w:val="24"/>
      <w:u w:val="single"/>
    </w:rPr>
  </w:style>
  <w:style w:type="paragraph" w:styleId="Ttulo2">
    <w:name w:val="heading 2"/>
    <w:basedOn w:val="Normal"/>
    <w:next w:val="Normal"/>
    <w:pPr>
      <w:keepNext/>
      <w:tabs>
        <w:tab w:val="left" w:pos="4253"/>
      </w:tabs>
      <w:spacing w:line="360" w:lineRule="auto"/>
      <w:jc w:val="center"/>
      <w:outlineLvl w:val="1"/>
    </w:pPr>
    <w:rPr>
      <w:b/>
      <w:u w:val="single"/>
    </w:rPr>
  </w:style>
  <w:style w:type="paragraph" w:styleId="Ttulo3">
    <w:name w:val="heading 3"/>
    <w:basedOn w:val="Normal"/>
    <w:next w:val="Normal"/>
    <w:pPr>
      <w:keepNext/>
      <w:tabs>
        <w:tab w:val="left" w:pos="2977"/>
      </w:tabs>
      <w:spacing w:after="0" w:line="360" w:lineRule="auto"/>
      <w:ind w:left="1276" w:hanging="1276"/>
      <w:jc w:val="both"/>
      <w:outlineLvl w:val="2"/>
    </w:pPr>
    <w:rPr>
      <w:b/>
      <w:sz w:val="24"/>
      <w:szCs w:val="24"/>
    </w:rPr>
  </w:style>
  <w:style w:type="paragraph" w:styleId="Ttulo4">
    <w:name w:val="heading 4"/>
    <w:basedOn w:val="Normal"/>
    <w:next w:val="Normal"/>
    <w:pPr>
      <w:keepNext/>
      <w:pBdr>
        <w:top w:val="single" w:sz="4" w:space="0" w:color="000000"/>
        <w:left w:val="single" w:sz="4" w:space="0" w:color="000000"/>
        <w:bottom w:val="single" w:sz="4" w:space="0" w:color="000000"/>
        <w:right w:val="single" w:sz="4" w:space="0" w:color="000000"/>
      </w:pBdr>
      <w:shd w:val="clear" w:color="auto" w:fill="F2F2F2"/>
      <w:tabs>
        <w:tab w:val="left" w:pos="4253"/>
      </w:tabs>
      <w:spacing w:line="360" w:lineRule="auto"/>
      <w:jc w:val="center"/>
      <w:outlineLvl w:val="3"/>
    </w:pPr>
    <w:rPr>
      <w:b/>
      <w:sz w:val="30"/>
      <w:szCs w:val="30"/>
    </w:rPr>
  </w:style>
  <w:style w:type="paragraph" w:styleId="Ttulo5">
    <w:name w:val="heading 5"/>
    <w:basedOn w:val="Normal"/>
    <w:next w:val="Normal"/>
    <w:pPr>
      <w:keepNext/>
      <w:spacing w:line="360" w:lineRule="auto"/>
      <w:jc w:val="center"/>
      <w:outlineLvl w:val="4"/>
    </w:pPr>
    <w:rPr>
      <w:b/>
      <w:sz w:val="24"/>
      <w:szCs w:val="24"/>
      <w:u w:val="single"/>
    </w:rPr>
  </w:style>
  <w:style w:type="paragraph" w:styleId="Ttulo6">
    <w:name w:val="heading 6"/>
    <w:basedOn w:val="Normal"/>
    <w:next w:val="Normal"/>
    <w:pPr>
      <w:keepNext/>
      <w:tabs>
        <w:tab w:val="left" w:pos="4253"/>
      </w:tabs>
      <w:spacing w:after="0" w:line="360" w:lineRule="auto"/>
      <w:jc w:val="cente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Arial" w:eastAsia="Arial" w:hAnsi="Arial" w:cs="Arial"/>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6"/>
      <w:szCs w:val="26"/>
    </w:rPr>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D6C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line="360" w:lineRule="auto"/>
      <w:jc w:val="center"/>
      <w:outlineLvl w:val="0"/>
    </w:pPr>
    <w:rPr>
      <w:b/>
      <w:sz w:val="24"/>
      <w:szCs w:val="24"/>
      <w:u w:val="single"/>
    </w:rPr>
  </w:style>
  <w:style w:type="paragraph" w:styleId="Ttulo2">
    <w:name w:val="heading 2"/>
    <w:basedOn w:val="Normal"/>
    <w:next w:val="Normal"/>
    <w:pPr>
      <w:keepNext/>
      <w:tabs>
        <w:tab w:val="left" w:pos="4253"/>
      </w:tabs>
      <w:spacing w:line="360" w:lineRule="auto"/>
      <w:jc w:val="center"/>
      <w:outlineLvl w:val="1"/>
    </w:pPr>
    <w:rPr>
      <w:b/>
      <w:u w:val="single"/>
    </w:rPr>
  </w:style>
  <w:style w:type="paragraph" w:styleId="Ttulo3">
    <w:name w:val="heading 3"/>
    <w:basedOn w:val="Normal"/>
    <w:next w:val="Normal"/>
    <w:pPr>
      <w:keepNext/>
      <w:tabs>
        <w:tab w:val="left" w:pos="2977"/>
      </w:tabs>
      <w:spacing w:after="0" w:line="360" w:lineRule="auto"/>
      <w:ind w:left="1276" w:hanging="1276"/>
      <w:jc w:val="both"/>
      <w:outlineLvl w:val="2"/>
    </w:pPr>
    <w:rPr>
      <w:b/>
      <w:sz w:val="24"/>
      <w:szCs w:val="24"/>
    </w:rPr>
  </w:style>
  <w:style w:type="paragraph" w:styleId="Ttulo4">
    <w:name w:val="heading 4"/>
    <w:basedOn w:val="Normal"/>
    <w:next w:val="Normal"/>
    <w:pPr>
      <w:keepNext/>
      <w:pBdr>
        <w:top w:val="single" w:sz="4" w:space="0" w:color="000000"/>
        <w:left w:val="single" w:sz="4" w:space="0" w:color="000000"/>
        <w:bottom w:val="single" w:sz="4" w:space="0" w:color="000000"/>
        <w:right w:val="single" w:sz="4" w:space="0" w:color="000000"/>
      </w:pBdr>
      <w:shd w:val="clear" w:color="auto" w:fill="F2F2F2"/>
      <w:tabs>
        <w:tab w:val="left" w:pos="4253"/>
      </w:tabs>
      <w:spacing w:line="360" w:lineRule="auto"/>
      <w:jc w:val="center"/>
      <w:outlineLvl w:val="3"/>
    </w:pPr>
    <w:rPr>
      <w:b/>
      <w:sz w:val="30"/>
      <w:szCs w:val="30"/>
    </w:rPr>
  </w:style>
  <w:style w:type="paragraph" w:styleId="Ttulo5">
    <w:name w:val="heading 5"/>
    <w:basedOn w:val="Normal"/>
    <w:next w:val="Normal"/>
    <w:pPr>
      <w:keepNext/>
      <w:spacing w:line="360" w:lineRule="auto"/>
      <w:jc w:val="center"/>
      <w:outlineLvl w:val="4"/>
    </w:pPr>
    <w:rPr>
      <w:b/>
      <w:sz w:val="24"/>
      <w:szCs w:val="24"/>
      <w:u w:val="single"/>
    </w:rPr>
  </w:style>
  <w:style w:type="paragraph" w:styleId="Ttulo6">
    <w:name w:val="heading 6"/>
    <w:basedOn w:val="Normal"/>
    <w:next w:val="Normal"/>
    <w:pPr>
      <w:keepNext/>
      <w:tabs>
        <w:tab w:val="left" w:pos="4253"/>
      </w:tabs>
      <w:spacing w:after="0" w:line="360" w:lineRule="auto"/>
      <w:jc w:val="cente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Arial" w:eastAsia="Arial" w:hAnsi="Arial" w:cs="Arial"/>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6"/>
      <w:szCs w:val="26"/>
    </w:rPr>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D6C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redir.stf.jus.br/paginador/paginador.jsp?docTP=AC&amp;docID=611799" TargetMode="External"/><Relationship Id="rId18" Type="http://schemas.openxmlformats.org/officeDocument/2006/relationships/hyperlink" Target="http://www.planalto.gov.br/ccivil_03/constituicao/Constituicao.htm"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12" Type="http://schemas.openxmlformats.org/officeDocument/2006/relationships/hyperlink" Target="http://www.planalto.gov.br/ccivil_03/_Ato2004-2006/2004/Lei/L10.887.htm" TargetMode="External"/><Relationship Id="rId17" Type="http://schemas.openxmlformats.org/officeDocument/2006/relationships/hyperlink" Target="http://www.planalto.gov.br/ccivil_03/constituicao/Constituicao.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www.planalto.gov.br/ccivil_03/constituicao/Constituicao.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constituicao/emendas/emc/emc103.htm" TargetMode="External"/><Relationship Id="rId24" Type="http://schemas.openxmlformats.org/officeDocument/2006/relationships/hyperlink" Target="http://www.planalto.gov.br/ccivil_03/constituicao/emendas/emc/emc103.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www.planalto.gov.br/ccivil_03/constituicao/emendas/emc/emc103.htm" TargetMode="External"/><Relationship Id="rId28" Type="http://schemas.openxmlformats.org/officeDocument/2006/relationships/footer" Target="footer2.xml"/><Relationship Id="rId10" Type="http://schemas.openxmlformats.org/officeDocument/2006/relationships/hyperlink" Target="http://www.planalto.gov.br/ccivil_03/constituicao/emendas/emc/emc103.htm" TargetMode="External"/><Relationship Id="rId19" Type="http://schemas.openxmlformats.org/officeDocument/2006/relationships/hyperlink" Target="http://www.planalto.gov.br/ccivil_03/constituicao/Constituicao.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planalto.gov.br/ccivil_03/constituicao/emendas/emc/emc103.ht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globo.globo.com/brasil/quarentena-mantida-por-23-estados-em-combate-ao-coronavirus-24354401" TargetMode="External"/><Relationship Id="rId3" Type="http://schemas.openxmlformats.org/officeDocument/2006/relationships/hyperlink" Target="https://www.ajufe.org.br/imprensa/artigos/12439-a-demonizacao-dos-servidores-publicos-e-a-reforma-da-previdencia" TargetMode="External"/><Relationship Id="rId7" Type="http://schemas.openxmlformats.org/officeDocument/2006/relationships/hyperlink" Target="https://www.bbc.com/portuguese/internacional-51198297" TargetMode="External"/><Relationship Id="rId2" Type="http://schemas.openxmlformats.org/officeDocument/2006/relationships/hyperlink" Target="https://anafenacional.org.br/congresso-em-foco-a-reforma-justa-para-os-servidores/" TargetMode="External"/><Relationship Id="rId1" Type="http://schemas.openxmlformats.org/officeDocument/2006/relationships/hyperlink" Target="https://www.servicos.gov.br/calculadora/" TargetMode="External"/><Relationship Id="rId6" Type="http://schemas.openxmlformats.org/officeDocument/2006/relationships/hyperlink" Target="https://www.correiobraziliense.com.br/app/noticia/politica/2020/03/20/interna_politica,835626/ministro-da-saude-anuncia-previsao-de-colapso-do-sistema-no-fim-de-abr.shtml" TargetMode="External"/><Relationship Id="rId5" Type="http://schemas.openxmlformats.org/officeDocument/2006/relationships/hyperlink" Target="https://brasil.elpais.com/brasil/2020-04-13/ultimas-noticias-sobre-o-coronavirus-no-brasil-e-no-mundo.html" TargetMode="External"/><Relationship Id="rId4" Type="http://schemas.openxmlformats.org/officeDocument/2006/relationships/hyperlink" Target="https://www.camara.leg.br/proposicoesWeb/fichadetramitacao?idProposicao=21924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9020</Words>
  <Characters>48709</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Visitante</cp:lastModifiedBy>
  <cp:revision>2</cp:revision>
  <dcterms:created xsi:type="dcterms:W3CDTF">2020-04-24T12:38:00Z</dcterms:created>
  <dcterms:modified xsi:type="dcterms:W3CDTF">2020-04-24T12:38:00Z</dcterms:modified>
</cp:coreProperties>
</file>